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methods</w:t>
      </w:r>
      <w:r>
        <w:t xml:space="preserve"> </w:t>
      </w:r>
      <w:r>
        <w:t xml:space="preserve">to</w:t>
      </w:r>
      <w:r>
        <w:t xml:space="preserve"> </w:t>
      </w:r>
      <w:r>
        <w:t xml:space="preserve">adjust</w:t>
      </w:r>
      <w:r>
        <w:t xml:space="preserve"> </w:t>
      </w:r>
      <w:r>
        <w:t xml:space="preserve">for</w:t>
      </w:r>
      <w:r>
        <w:t xml:space="preserve"> </w:t>
      </w:r>
      <w:r>
        <w:t xml:space="preserve">assay</w:t>
      </w:r>
      <w:r>
        <w:t xml:space="preserve"> </w:t>
      </w:r>
      <w:r>
        <w:t xml:space="preserve">differences</w:t>
      </w:r>
      <w:r>
        <w:t xml:space="preserve"> </w:t>
      </w:r>
      <w:r>
        <w:t xml:space="preserve">across</w:t>
      </w:r>
      <w:r>
        <w:t xml:space="preserve"> </w:t>
      </w:r>
      <w:r>
        <w:t xml:space="preserve">COVID-19</w:t>
      </w:r>
      <w:r>
        <w:t xml:space="preserve"> </w:t>
      </w:r>
      <w:r>
        <w:t xml:space="preserve">serological</w:t>
      </w:r>
      <w:r>
        <w:t xml:space="preserve"> </w:t>
      </w:r>
      <w:r>
        <w:t xml:space="preserve">surveillance</w:t>
      </w:r>
      <w:r>
        <w:t xml:space="preserve"> </w:t>
      </w:r>
      <w:r>
        <w:t xml:space="preserve">studies</w:t>
      </w:r>
      <w:r>
        <w:t xml:space="preserve"> </w:t>
      </w:r>
      <w:r>
        <w:t xml:space="preserve">in</w:t>
      </w:r>
      <w:r>
        <w:t xml:space="preserve"> </w:t>
      </w:r>
      <w:r>
        <w:t xml:space="preserve">Canada</w:t>
      </w:r>
    </w:p>
    <w:p>
      <w:pPr>
        <w:pStyle w:val="FirstParagraph"/>
      </w:pPr>
      <w:r>
        <w:t xml:space="preserve">Jiacheng Chen</w:t>
      </w:r>
      <w:r>
        <w:rPr>
          <w:vertAlign w:val="superscript"/>
        </w:rPr>
        <w:t xml:space="preserve">1,2</w:t>
      </w:r>
      <w:r>
        <w:t xml:space="preserve">, …, W. Alton Russell</w:t>
      </w:r>
      <w:r>
        <w:rPr>
          <w:vertAlign w:val="superscript"/>
        </w:rPr>
        <w:t xml:space="preserve">1,2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COVID-19 Immunity Task Force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</w:t>
      </w:r>
      <w:r>
        <w:t xml:space="preserve"> </w:t>
      </w:r>
      <w:r>
        <w:t xml:space="preserve">[1]</w:t>
      </w:r>
      <w:r>
        <w:t xml:space="preserve">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cor-sample">
        <w:r>
          <w:rPr>
            <w:rStyle w:val="Hyperlink"/>
          </w:rPr>
          <w:t xml:space="preserve">Table S 1</w:t>
        </w:r>
      </w:hyperlink>
      <w:r>
        <w:t xml:space="preserve">,</w:t>
      </w:r>
      <w:r>
        <w:t xml:space="preserve"> </w:t>
      </w:r>
      <w:hyperlink w:anchor="thm-sample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lem-sample">
        <w:r>
          <w:rPr>
            <w:rStyle w:val="Hyperlink"/>
          </w:rPr>
          <w:t xml:space="preserve">Figure S 1</w:t>
        </w:r>
      </w:hyperlink>
      <w:r>
        <w:t xml:space="preserve">.</w:t>
      </w:r>
    </w:p>
    <w:p>
      <w:r>
        <w:br w:type="page"/>
      </w:r>
    </w:p>
    <w:bookmarkEnd w:id="21"/>
    <w:bookmarkStart w:id="23" w:name="methods"/>
    <w:p>
      <w:pPr>
        <w:pStyle w:val="Heading1"/>
      </w:pPr>
      <w:r>
        <w:t xml:space="preserve">Methods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2"/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p>
      <w:r>
        <w:br w:type="page"/>
      </w:r>
    </w:p>
    <w:bookmarkEnd w:id="25"/>
    <w:bookmarkStart w:id="26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 A</w:t>
      </w:r>
    </w:p>
    <w:p>
      <w:r>
        <w:br w:type="page"/>
      </w:r>
    </w:p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27">
        <w:r>
          <w:rPr>
            <w:rStyle w:val="Hyperlink"/>
          </w:rPr>
          <w:t xml:space="preserve">10.1016/j.jval.2017.07.014</w:t>
        </w:r>
      </w:hyperlink>
    </w:p>
    <w:bookmarkEnd w:id="28"/>
    <w:bookmarkEnd w:id="29"/>
    <w:p>
      <w:r>
        <w:br w:type="page"/>
      </w:r>
    </w:p>
    <w:bookmarkEnd w:id="30"/>
    <w:bookmarkStart w:id="32" w:name="tables"/>
    <w:p>
      <w:pPr>
        <w:pStyle w:val="Heading1"/>
      </w:pPr>
      <w:r>
        <w:t xml:space="preserve">Tables</w:t>
      </w:r>
    </w:p>
    <w:bookmarkStart w:id="31" w:name="thm-sample"/>
    <w:p>
      <w:pPr>
        <w:pStyle w:val="FirstParagraph"/>
      </w:pPr>
      <w:r>
        <w:rPr>
          <w:bCs/>
          <w:b/>
        </w:rPr>
        <w:t xml:space="preserve">Table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31"/>
    <w:p>
      <w:r>
        <w:br w:type="page"/>
      </w:r>
    </w:p>
    <w:bookmarkEnd w:id="32"/>
    <w:bookmarkStart w:id="37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sample"/>
          <w:p>
            <w:pPr>
              <w:pStyle w:val="Figure"/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Figure caption here.</w:t>
            </w:r>
          </w:p>
          <w:bookmarkEnd w:id="36"/>
        </w:tc>
      </w:tr>
    </w:tbl>
    <w:p>
      <w:r>
        <w:br w:type="page"/>
      </w:r>
    </w:p>
    <w:bookmarkEnd w:id="37"/>
    <w:bookmarkStart w:id="38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</w:p>
    <w:bookmarkEnd w:id="38"/>
    <w:bookmarkStart w:id="39" w:name="a.-supplement-section"/>
    <w:p>
      <w:pPr>
        <w:pStyle w:val="Heading1"/>
      </w:pPr>
      <w:r>
        <w:t xml:space="preserve">A. Supplement section</w:t>
      </w:r>
    </w:p>
    <w:p>
      <w:r>
        <w:br w:type="page"/>
      </w:r>
    </w:p>
    <w:bookmarkEnd w:id="39"/>
    <w:bookmarkStart w:id="41" w:name="supplemental-tables"/>
    <w:p>
      <w:pPr>
        <w:pStyle w:val="Heading1"/>
      </w:pPr>
      <w:r>
        <w:t xml:space="preserve">Supplemental tables</w:t>
      </w:r>
    </w:p>
    <w:bookmarkStart w:id="40" w:name="cor-sample"/>
    <w:p>
      <w:pPr>
        <w:pStyle w:val="FirstParagraph"/>
      </w:pPr>
      <w:r>
        <w:rPr>
          <w:bCs/>
          <w:b/>
        </w:rPr>
        <w:t xml:space="preserve">Table S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40"/>
    <w:p>
      <w:r>
        <w:br w:type="page"/>
      </w:r>
    </w:p>
    <w:bookmarkEnd w:id="41"/>
    <w:bookmarkStart w:id="45" w:name="supplemental-figures"/>
    <w:p>
      <w:pPr>
        <w:pStyle w:val="Heading1"/>
      </w:pPr>
      <w:r>
        <w:t xml:space="preserve">Supplemental figures</w:t>
      </w:r>
    </w:p>
    <w:bookmarkStart w:id="44" w:name="lem-sample"/>
    <w:p>
      <w:pPr>
        <w:pStyle w:val="FirstParagraph"/>
      </w:pPr>
      <w:r>
        <w:rPr>
          <w:bCs/>
          <w:b/>
        </w:rPr>
        <w:t xml:space="preserve">Figure S 1</w:t>
      </w:r>
      <w:r>
        <w:rPr>
          <w:bCs/>
          <w:b/>
        </w:rPr>
        <w:t xml:space="preserve"> </w:t>
      </w:r>
      <w:r>
        <w:t xml:space="preserve">Figure caption here.</w:t>
      </w:r>
    </w:p>
    <w:p>
      <w:pPr>
        <w:pStyle w:val="BodyText"/>
      </w:pPr>
      <w:r>
        <w:drawing>
          <wp:inline>
            <wp:extent cx="4587290" cy="91745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./4_output/figs/figur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9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hyperlink" Id="rId27" Target="https://doi.org/10.1016/j.jval.2017.07.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16/j.jval.2017.07.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methods to adjust for assay differences across COVID-19 serological surveillance studies in Canada</dc:title>
  <dc:creator/>
  <cp:keywords/>
  <dcterms:created xsi:type="dcterms:W3CDTF">2023-08-07T14:06:48Z</dcterms:created>
  <dcterms:modified xsi:type="dcterms:W3CDTF">2023-08-07T14:06:48Z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