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4.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The Covid-19 pandemic overview, global and what it looks like in Canada.</w:t>
      </w:r>
    </w:p>
    <w:p>
      <w:pPr>
        <w:pStyle w:val="BodyText"/>
      </w:pPr>
      <w:r>
        <w:t xml:space="preserve">Serosurveillance programs in Canada, and its importance</w:t>
      </w:r>
    </w:p>
    <w:p>
      <w:pPr>
        <w:pStyle w:val="BodyText"/>
      </w:pPr>
      <w:r>
        <w:t xml:space="preserve">Two types of antibodies to be detected by assays: Anti-S and Anti-N. Why we treated them differently in data analysis. Quantitative and qualitative test results.</w:t>
      </w:r>
    </w:p>
    <w:p>
      <w:pPr>
        <w:pStyle w:val="BodyText"/>
      </w:pPr>
      <w:r>
        <w:t xml:space="preserve">anti-S (humoral response to infection or vaccination) and anti-N (marker of natural infection)</w:t>
      </w:r>
    </w:p>
    <w:p>
      <w:pPr>
        <w:pStyle w:val="BodyText"/>
      </w:pPr>
      <w:r>
        <w:t xml:space="preserve">Waning of immunity against SARS-COV-2 after infection and immunization, indicated by decreasing blood Ab level overtime.</w:t>
      </w:r>
    </w:p>
    <w:p>
      <w:pPr>
        <w:pStyle w:val="BodyText"/>
      </w:pPr>
      <w:r>
        <w:t xml:space="preserve">[insert the figure of declining Ab with re-activation of immunization]</w:t>
      </w:r>
    </w:p>
    <w:p>
      <w:pPr>
        <w:pStyle w:val="BodyText"/>
      </w:pPr>
      <w:r>
        <w:t xml:space="preserve">Seropravalence and attack rate, why we need to employ RG equation or Bayesian model to estimated seropravalence, and why we also need models to adjust for waning immunity.</w:t>
      </w:r>
    </w:p>
    <w:p>
      <w:r>
        <w:br w:type="page"/>
      </w:r>
    </w:p>
    <w:bookmarkEnd w:id="21"/>
    <w:bookmarkStart w:id="25" w:name="methods"/>
    <w:p>
      <w:pPr>
        <w:pStyle w:val="Heading1"/>
      </w:pPr>
      <w:r>
        <w:t xml:space="preserve">Methods</w:t>
      </w:r>
    </w:p>
    <w:p>
      <w:pPr>
        <w:pStyle w:val="FirstParagraph"/>
      </w:pPr>
      <w:r>
        <w:rPr>
          <w:bCs/>
          <w:b/>
        </w:rPr>
        <w:t xml:space="preserve">Notes</w:t>
      </w:r>
      <w:r>
        <w:t xml:space="preserve">: Unlike the DBS vs VBS manuscript, the methods section of this project is mostly</w:t>
      </w:r>
      <w:r>
        <w:t xml:space="preserve"> </w:t>
      </w:r>
      <w:r>
        <w:rPr>
          <w:u w:val="single"/>
        </w:rPr>
        <w:t xml:space="preserve">unfinished</w:t>
      </w:r>
      <w:r>
        <w:t xml:space="preserve">. This section only shows the plan and the flow chart of the project in general, while the details of it needs constantly updating and polishing overtime, as the project goes. The potential obstacles were listed below:</w:t>
      </w:r>
    </w:p>
    <w:p>
      <w:pPr>
        <w:numPr>
          <w:ilvl w:val="0"/>
          <w:numId w:val="1001"/>
        </w:numPr>
      </w:pPr>
      <w:r>
        <w:t xml:space="preserve">APL assay data before the Omicron wave was mostly missing, Carmen said they have already approved the data access but the data is still on its way.</w:t>
      </w:r>
    </w:p>
    <w:p>
      <w:pPr>
        <w:numPr>
          <w:ilvl w:val="0"/>
          <w:numId w:val="1001"/>
        </w:numPr>
      </w:pPr>
      <w:r>
        <w:t xml:space="preserve">In AB Outpatient Lab Data, they changed the assay (Diasorin S –&gt; Abbott S) in the midway, this would affect the validity of analysis based on quantitative test results, as the results from different assay are not directly comparable. Hopefully this can be clarified in the updated version of the dataset.</w:t>
      </w:r>
    </w:p>
    <w:bookmarkStart w:id="22" w:name="dataset"/>
    <w:p>
      <w:pPr>
        <w:pStyle w:val="Heading2"/>
      </w:pPr>
      <w:r>
        <w:t xml:space="preserve">Dataset</w:t>
      </w:r>
    </w:p>
    <w:p>
      <w:pPr>
        <w:pStyle w:val="FirstParagraph"/>
      </w:pPr>
      <w:r>
        <w:t xml:space="preserve">To estimate the SARS-CoV-2 seroprevalence and attack rate in Alberta, we used data from the Alberta Outpatient Lab (APL), Canadian Blood Services (CBS) and Canadian Partnership for Tomorrow’s Health (CANPATH). Alberta Health Services (AHS) tested &gt;160,000 APL blood draws for SARS-CoV-2 anti-N and anti-S antibodies from June 2020 until October 2022.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t xml:space="preserve">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The three datasets feature different data collection time frames. The CBS dataset has the most extended period, ranging from December 2020 to February 2023. APL’s data collection spans from June 2020 to October 2022, but it’s important to note that anti-N assay results are only available starting from December 2021. Meanwhile, the CANPATH dataset is accessible for a shorter duration, from September 2020 to May 2021.</w:t>
      </w:r>
    </w:p>
    <w:p>
      <w:pPr>
        <w:pStyle w:val="BodyText"/>
      </w:pPr>
      <w:r>
        <w:t xml:space="preserve">We did not conduct analysis using a merged data, but instead, we conducted analysis separately for each data and presented the results in a graph panel (</w:t>
      </w:r>
      <w:hyperlink w:anchor="fig-seroprevalence">
        <w:r>
          <w:rPr>
            <w:rStyle w:val="Hyperlink"/>
          </w:rPr>
          <w:t xml:space="preserve">Figure 2</w:t>
        </w:r>
      </w:hyperlink>
      <w:r>
        <w:t xml:space="preserve">).</w:t>
      </w:r>
      <w:r>
        <w:t xml:space="preserve"> </w:t>
      </w:r>
      <w:hyperlink w:anchor="thm-data">
        <w:r>
          <w:rPr>
            <w:rStyle w:val="Hyperlink"/>
          </w:rPr>
          <w:t xml:space="preserve">Table 2</w:t>
        </w:r>
      </w:hyperlink>
      <w:r>
        <w:t xml:space="preserve"> </w:t>
      </w:r>
      <w:r>
        <w:t xml:space="preserve">below summarized the differences among three data utilized in the study.</w:t>
      </w:r>
    </w:p>
    <w:p>
      <w:pPr>
        <w:pStyle w:val="BodyText"/>
      </w:pPr>
      <w:hyperlink w:anchor="thm-data">
        <w:r>
          <w:rPr>
            <w:rStyle w:val="Hyperlink"/>
          </w:rPr>
          <w:t xml:space="preserve">Table 2</w:t>
        </w:r>
      </w:hyperlink>
      <w:r>
        <w:t xml:space="preserve"> </w:t>
      </w:r>
      <w:r>
        <w:t xml:space="preserve">CBS, CANPATH and APL</w:t>
      </w:r>
    </w:p>
    <w:p>
      <w:pPr>
        <w:pStyle w:val="BodyText"/>
      </w:pPr>
      <w:r>
        <w:t xml:space="preserve">[insert</w:t>
      </w:r>
      <w:r>
        <w:t xml:space="preserve"> </w:t>
      </w:r>
      <w:hyperlink w:anchor="thm-data">
        <w:r>
          <w:rPr>
            <w:rStyle w:val="Hyperlink"/>
          </w:rPr>
          <w:t xml:space="preserve">Table 2</w:t>
        </w:r>
      </w:hyperlink>
      <w:r>
        <w:t xml:space="preserve"> </w:t>
      </w:r>
      <w:r>
        <w:t xml:space="preserve">here if necessary]</w:t>
      </w:r>
    </w:p>
    <w:bookmarkEnd w:id="22"/>
    <w:bookmarkStart w:id="23" w:name="seroprevalence-and-attack-rate"/>
    <w:p>
      <w:pPr>
        <w:pStyle w:val="Heading2"/>
      </w:pPr>
      <w:r>
        <w:rPr>
          <w:bCs/>
          <w:b/>
        </w:rPr>
        <w:t xml:space="preserve">Seroprevalence and attack rate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 Following seroprevalence estimation, we further estimated the attack rate while adjusting for waning immunity using Bayesian models. These estimations are dessignated to answer what proportion of the target population that has been infected by SARS-CoV-2. We presented both seroprevalence and attack rate in a unified graph (</w:t>
      </w:r>
      <w:hyperlink w:anchor="fig-seroprevalence">
        <w:r>
          <w:rPr>
            <w:rStyle w:val="Hyperlink"/>
          </w:rPr>
          <w:t xml:space="preserve">Figure 2</w:t>
        </w:r>
      </w:hyperlink>
      <w:r>
        <w:t xml:space="preserve">), displaying changes over time on a monthly scale.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Bayesian models adjusting for sensitivity:</w:t>
      </w:r>
    </w:p>
    <w:p>
      <w:pPr>
        <w:pStyle w:val="BodyText"/>
      </w:pPr>
      <w:r>
        <w:t xml:space="preserve">$$</w:t>
      </w:r>
    </w:p>
    <w:p>
      <w:pPr>
        <w:pStyle w:val="BodyText"/>
      </w:pPr>
      <w:r>
        <w:t xml:space="preserve">$$</w:t>
      </w:r>
    </w:p>
    <w:p>
      <w:pPr>
        <w:pStyle w:val="BodyText"/>
      </w:pPr>
      <w:r>
        <w:t xml:space="preserve">Bayesian models adjusting for waning immunity:</w:t>
      </w:r>
      <w:r>
        <w:t xml:space="preserve"> </w:t>
      </w:r>
      <w:r>
        <w:t xml:space="preserve">$$</w:t>
      </w:r>
    </w:p>
    <w:p>
      <w:pPr>
        <w:pStyle w:val="BodyText"/>
      </w:pPr>
      <w:r>
        <w:t xml:space="preserve">$$</w:t>
      </w:r>
    </w:p>
    <w:bookmarkEnd w:id="23"/>
    <w:bookmarkStart w:id="24" w:name="proportion-sufficiently-protected"/>
    <w:p>
      <w:pPr>
        <w:pStyle w:val="Heading2"/>
      </w:pPr>
      <w:r>
        <w:rPr>
          <w:bCs/>
          <w:b/>
        </w:rPr>
        <w:t xml:space="preserve">Proportion sufficiently protected:</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3</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r>
        <w:t xml:space="preserve">[Insert</w:t>
      </w:r>
      <w:r>
        <w:t xml:space="preserve"> </w:t>
      </w:r>
      <w:hyperlink w:anchor="fig-immunity">
        <w:r>
          <w:rPr>
            <w:rStyle w:val="Hyperlink"/>
          </w:rPr>
          <w:t xml:space="preserve">Figure 3</w:t>
        </w:r>
      </w:hyperlink>
      <w:r>
        <w:t xml:space="preserve"> </w:t>
      </w:r>
      <w:r>
        <w:t xml:space="preserve">here if necessary]</w:t>
      </w:r>
    </w:p>
    <w:p>
      <w:pPr>
        <w:pStyle w:val="BodyText"/>
      </w:pPr>
    </w:p>
    <w:bookmarkEnd w:id="24"/>
    <w:bookmarkEnd w:id="25"/>
    <w:bookmarkStart w:id="26" w:name="results"/>
    <w:p>
      <w:pPr>
        <w:pStyle w:val="Heading1"/>
      </w:pPr>
      <w:r>
        <w:t xml:space="preserve">Results</w:t>
      </w:r>
    </w:p>
    <w:p>
      <w:pPr>
        <w:pStyle w:val="FirstParagraph"/>
      </w:pPr>
      <w:r>
        <w:t xml:space="preserve">ANOVA test, p-values…</w:t>
      </w:r>
    </w:p>
    <w:p>
      <w:pPr>
        <w:pStyle w:val="BodyText"/>
      </w:pPr>
    </w:p>
    <w:bookmarkEnd w:id="26"/>
    <w:bookmarkStart w:id="27" w:name="discussion"/>
    <w:p>
      <w:pPr>
        <w:pStyle w:val="Heading1"/>
      </w:pPr>
      <w:r>
        <w:t xml:space="preserve">Discussion</w:t>
      </w:r>
    </w:p>
    <w:p>
      <w:pPr>
        <w:pStyle w:val="FirstParagraph"/>
      </w:pPr>
      <w:r>
        <w:t xml:space="preserve">Notes: The gap between Rogen-Gladen adjusted sero-prevalence and unadjused sero-positivity.</w:t>
      </w:r>
    </w:p>
    <w:p>
      <w:pPr>
        <w:pStyle w:val="BodyText"/>
      </w:pPr>
      <w:r>
        <w:t xml:space="preserve">In our case, the sensitivity is where most variance come from. Specificity is good over time, and we can used the number published by the manufacturer (Roche &amp; Abbott). Since sens is imperfect (0.8–1.0) and specificity is mostly 100% trustworthy (~1.0), the R-G equation and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 (smaller in value), the larger the gap between the adjusted (blue) and unadjusted (red). The gap is larger among unadjusted lines (red).</w:t>
      </w:r>
    </w:p>
    <w:p>
      <w:pPr>
        <w:pStyle w:val="BodyText"/>
      </w:pPr>
      <w:r>
        <w:t xml:space="preserve">Between data (APL, CBS, CANPATH) diff is not the major focus of this study, Yuan’s paper will focus on those. For this paper, the major focus should be the difference between adjusting methods</w:t>
      </w:r>
    </w:p>
    <w:p>
      <w:pPr>
        <w:pStyle w:val="BodyText"/>
      </w:pPr>
    </w:p>
    <w:p>
      <w:r>
        <w:br w:type="page"/>
      </w:r>
    </w:p>
    <w:bookmarkEnd w:id="27"/>
    <w:bookmarkStart w:id="28"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8"/>
    <w:bookmarkStart w:id="32" w:name="references"/>
    <w:p>
      <w:pPr>
        <w:pStyle w:val="Heading1"/>
      </w:pPr>
      <w:r>
        <w:t xml:space="preserve">References</w:t>
      </w:r>
    </w:p>
    <w:bookmarkStart w:id="31" w:name="refs"/>
    <w:bookmarkStart w:id="30"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29">
        <w:r>
          <w:rPr>
            <w:rStyle w:val="Hyperlink"/>
          </w:rPr>
          <w:t xml:space="preserve">10.1016/j.jval.2017.07.014</w:t>
        </w:r>
      </w:hyperlink>
    </w:p>
    <w:bookmarkEnd w:id="30"/>
    <w:bookmarkEnd w:id="31"/>
    <w:p>
      <w:r>
        <w:br w:type="page"/>
      </w:r>
    </w:p>
    <w:bookmarkEnd w:id="32"/>
    <w:bookmarkStart w:id="35" w:name="tables"/>
    <w:p>
      <w:pPr>
        <w:pStyle w:val="Heading1"/>
      </w:pPr>
      <w:r>
        <w:t xml:space="preserve">Tables</w:t>
      </w:r>
    </w:p>
    <w:bookmarkStart w:id="33"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3"/>
    <w:bookmarkStart w:id="34"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4"/>
    <w:p>
      <w:r>
        <w:br w:type="page"/>
      </w:r>
    </w:p>
    <w:bookmarkEnd w:id="35"/>
    <w:bookmarkStart w:id="48"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9" w:name="fig-sample"/>
          <w:p>
            <w:pPr>
              <w:jc w:val="center"/>
            </w:pPr>
            <w:r>
              <w:drawing>
                <wp:inline>
                  <wp:extent cx="4587290" cy="917458"/>
                  <wp:effectExtent b="0" l="0" r="0" t="0"/>
                  <wp:docPr descr="" title="" id="37" name="Picture"/>
                  <a:graphic>
                    <a:graphicData uri="http://schemas.openxmlformats.org/drawingml/2006/picture">
                      <pic:pic>
                        <pic:nvPicPr>
                          <pic:cNvPr descr="../4_output/figs/figure.png" id="38"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3" w:name="fig-seroprevalence"/>
          <w:p>
            <w:pPr>
              <w:jc w:val="center"/>
            </w:pPr>
            <w:r>
              <w:drawing>
                <wp:inline>
                  <wp:extent cx="5943600" cy="3118391"/>
                  <wp:effectExtent b="0" l="0" r="0" t="0"/>
                  <wp:docPr descr="" title="" id="41" name="Picture"/>
                  <a:graphic>
                    <a:graphicData uri="http://schemas.openxmlformats.org/drawingml/2006/picture">
                      <pic:pic>
                        <pic:nvPicPr>
                          <pic:cNvPr descr="../4_output/figs/Figure.1%20Seroprelance%20and%20attack%20rate%20by%20province%20and%20data%20source.png" id="42" name="Picture"/>
                          <pic:cNvPicPr>
                            <a:picLocks noChangeArrowheads="1" noChangeAspect="1"/>
                          </pic:cNvPicPr>
                        </pic:nvPicPr>
                        <pic:blipFill>
                          <a:blip r:embed="rId40"/>
                          <a:stretch>
                            <a:fillRect/>
                          </a:stretch>
                        </pic:blipFill>
                        <pic:spPr bwMode="auto">
                          <a:xfrm>
                            <a:off x="0" y="0"/>
                            <a:ext cx="5943600" cy="311839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The figure panel above presents the temporal changes in seroprevalence and attack rate, grouped by province and data source. Each figure displays the unadjusted seropositivity, the seroprevalence adjusted using the Rogan-Gladen equation, the seroprevalence adjusted by Bayesian models, and the attack rates. The calculations of seropositivity, seroprevalence, and attack rate are based on the qualitative results of the anti-N assay. (Just a scratch, not the real fig)</w:t>
            </w:r>
          </w:p>
          <w:bookmarkEnd w:id="4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immunity"/>
          <w:p>
            <w:pPr>
              <w:jc w:val="center"/>
            </w:pPr>
            <w:r>
              <w:drawing>
                <wp:inline>
                  <wp:extent cx="5943600" cy="3601171"/>
                  <wp:effectExtent b="0" l="0" r="0" t="0"/>
                  <wp:docPr descr="" title="" id="45" name="Picture"/>
                  <a:graphic>
                    <a:graphicData uri="http://schemas.openxmlformats.org/drawingml/2006/picture">
                      <pic:pic>
                        <pic:nvPicPr>
                          <pic:cNvPr descr="../4_output/figs/Figure.2%20Immunity.png" id="46" name="Picture"/>
                          <pic:cNvPicPr>
                            <a:picLocks noChangeArrowheads="1" noChangeAspect="1"/>
                          </pic:cNvPicPr>
                        </pic:nvPicPr>
                        <pic:blipFill>
                          <a:blip r:embed="rId44"/>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47"/>
        </w:tc>
      </w:tr>
    </w:tbl>
    <w:p>
      <w:r>
        <w:br w:type="page"/>
      </w:r>
    </w:p>
    <w:bookmarkEnd w:id="48"/>
    <w:bookmarkStart w:id="49" w:name="supplemental-materials"/>
    <w:p>
      <w:pPr>
        <w:pStyle w:val="Heading1"/>
      </w:pPr>
      <w:r>
        <w:t xml:space="preserve">Supplemental materials</w:t>
      </w:r>
    </w:p>
    <w:p>
      <w:pPr>
        <w:pStyle w:val="FirstParagraph"/>
      </w:pPr>
    </w:p>
    <w:bookmarkEnd w:id="49"/>
    <w:bookmarkStart w:id="50" w:name="a.-supplement-section"/>
    <w:p>
      <w:pPr>
        <w:pStyle w:val="Heading1"/>
      </w:pPr>
      <w:r>
        <w:t xml:space="preserve">A. Supplement section</w:t>
      </w:r>
    </w:p>
    <w:p>
      <w:r>
        <w:br w:type="page"/>
      </w:r>
    </w:p>
    <w:bookmarkEnd w:id="50"/>
    <w:bookmarkStart w:id="52" w:name="supplemental-tables"/>
    <w:p>
      <w:pPr>
        <w:pStyle w:val="Heading1"/>
      </w:pPr>
      <w:r>
        <w:t xml:space="preserve">Supplemental tables</w:t>
      </w:r>
    </w:p>
    <w:bookmarkStart w:id="51"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51"/>
    <w:p>
      <w:r>
        <w:br w:type="page"/>
      </w:r>
    </w:p>
    <w:bookmarkEnd w:id="52"/>
    <w:bookmarkStart w:id="56" w:name="supplemental-figures"/>
    <w:p>
      <w:pPr>
        <w:pStyle w:val="Heading1"/>
      </w:pPr>
      <w:r>
        <w:t xml:space="preserve">Supplemental figures</w:t>
      </w:r>
    </w:p>
    <w:bookmarkStart w:id="55"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53" name="Picture"/>
            <a:graphic>
              <a:graphicData uri="http://schemas.openxmlformats.org/drawingml/2006/picture">
                <pic:pic>
                  <pic:nvPicPr>
                    <pic:cNvPr descr="../4_output/figs/figure.png" id="54"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bookmarkEnd w:id="55"/>
    <w:bookmarkEnd w:id="56"/>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hyperlink" Id="rId29"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2024-01-11T19:24:14Z</dcterms:created>
  <dcterms:modified xsi:type="dcterms:W3CDTF">2024-01-11T19:24:14Z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