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4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dried</w:t>
      </w:r>
      <w:r>
        <w:t xml:space="preserve"> </w:t>
      </w:r>
      <w:r>
        <w:t xml:space="preserve">blood</w:t>
      </w:r>
      <w:r>
        <w:t xml:space="preserve"> </w:t>
      </w:r>
      <w:r>
        <w:t xml:space="preserve">spot</w:t>
      </w:r>
      <w:r>
        <w:t xml:space="preserve"> </w:t>
      </w:r>
      <w:r>
        <w:t xml:space="preserve">sample</w:t>
      </w:r>
      <w:r>
        <w:t xml:space="preserve"> </w:t>
      </w:r>
      <w:r>
        <w:t xml:space="preserve">collection</w:t>
      </w:r>
      <w:r>
        <w:t xml:space="preserve"> </w:t>
      </w:r>
      <w:r>
        <w:t xml:space="preserve">on</w:t>
      </w:r>
      <w:r>
        <w:t xml:space="preserve"> </w:t>
      </w:r>
      <w:r>
        <w:t xml:space="preserve">SARS-CoV-2</w:t>
      </w:r>
      <w:r>
        <w:t xml:space="preserve"> </w:t>
      </w:r>
      <w:r>
        <w:t xml:space="preserve">antibody</w:t>
      </w:r>
      <w:r>
        <w:t xml:space="preserve"> </w:t>
      </w:r>
      <w:r>
        <w:t xml:space="preserve">test</w:t>
      </w:r>
      <w:r>
        <w:t xml:space="preserve"> </w:t>
      </w:r>
      <w:r>
        <w:t xml:space="preserve">results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serological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older</w:t>
      </w:r>
      <w:r>
        <w:t xml:space="preserve"> </w:t>
      </w:r>
      <w:r>
        <w:t xml:space="preserve">Canadians</w:t>
      </w:r>
    </w:p>
    <w:p>
      <w:pPr>
        <w:pStyle w:val="FirstParagraph"/>
      </w:pPr>
      <w:r>
        <w:t xml:space="preserve">Jiacheng Chen</w:t>
      </w:r>
      <w:r>
        <w:rPr>
          <w:vertAlign w:val="superscript"/>
        </w:rPr>
        <w:t xml:space="preserve">1</w:t>
      </w:r>
      <w:r>
        <w:t xml:space="preserve">, W. Alton Russell</w:t>
      </w:r>
      <w:r>
        <w:rPr>
          <w:vertAlign w:val="superscript"/>
        </w:rPr>
        <w:t xml:space="preserve">1</w:t>
      </w:r>
      <w:r>
        <w:t xml:space="preserve">,</w:t>
      </w:r>
    </w:p>
    <w:p>
      <w:pPr>
        <w:pStyle w:val="BodyText"/>
      </w:pP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School of Population and Global Health, McGill University, Montreal, Canada</w:t>
      </w:r>
    </w:p>
    <w:p>
      <w:pPr>
        <w:pStyle w:val="BodyText"/>
      </w:pPr>
    </w:p>
    <w:bookmarkStart w:id="20" w:name="letter"/>
    <w:p>
      <w:pPr>
        <w:pStyle w:val="Heading1"/>
      </w:pPr>
      <w:r>
        <w:t xml:space="preserve">Letter</w:t>
      </w:r>
    </w:p>
    <w:p>
      <w:pPr>
        <w:pStyle w:val="FirstParagraph"/>
      </w:pPr>
      <w:r>
        <w:t xml:space="preserve">Over the past decades, serosurveillance has proven to be cost-effective to monitor the prevalence of infectious diseases, when compared to various forms of laboratory tests</w:t>
      </w:r>
      <w:r>
        <w:t xml:space="preserve"> </w:t>
      </w:r>
      <w:r>
        <w:t xml:space="preserve">[1–3]</w:t>
      </w:r>
      <w:r>
        <w:t xml:space="preserve">. One traditional method of blood sample collection involves venous blood sampling (VBS), which requires participants to visit a testing center in person and provide their blood samples through venous extraction</w:t>
      </w:r>
      <w:r>
        <w:t xml:space="preserve"> </w:t>
      </w:r>
      <w:r>
        <w:t xml:space="preserve">[4]</w:t>
      </w:r>
      <w:r>
        <w:t xml:space="preserve">. Instead of VBS, studies estimating population prevalence of infectious disease markers in blood sometimes ask participants to self-collect and mail a dried blood spot (DBS) for laboratory testing, instead of having a venous blood samples collected by a trained health professional</w:t>
      </w:r>
      <w:r>
        <w:t xml:space="preserve"> </w:t>
      </w:r>
      <w:r>
        <w:t xml:space="preserve">[5]</w:t>
      </w:r>
      <w:r>
        <w:t xml:space="preserve">. DBS has gained increasing popularity in recent years due to its convenience and many SARS-CoV-2 serological studies have used DBS</w:t>
      </w:r>
      <w:r>
        <w:t xml:space="preserve"> </w:t>
      </w:r>
      <w:r>
        <w:t xml:space="preserve">[5–7]</w:t>
      </w:r>
      <w:r>
        <w:t xml:space="preserve">. However, limited data are available on evaluating its validity and whether DBS changes laboratory findings.</w:t>
      </w:r>
    </w:p>
    <w:p>
      <w:pPr>
        <w:pStyle w:val="BodyText"/>
      </w:pPr>
      <w:r>
        <w:t xml:space="preserve">In a national SARS-CoV-2 serological study of older Canadians, participants could choose whether to mail a DBS sample or provide a venous sample at a testing center</w:t>
      </w:r>
      <w:r>
        <w:t xml:space="preserve"> </w:t>
      </w:r>
      <w:r>
        <w:t xml:space="preserve">[8]</w:t>
      </w:r>
      <w:r>
        <w:t xml:space="preserve">. Upon the study data with both anti-N and anti-S assay results available (N=7,230), we developed a propensity score model to examine the association of demographics, geography, and health-related factors with the choice of DBS or venous sample. We applied propensity score weighting (weighting method: inverse probability of treatment weighting (IPTW)) to adjust for potential confounding variables and compare SARS-CoV-2 Anti-N and Anti-S assay results when using the same assay on DBS or venous samples.</w:t>
      </w:r>
    </w:p>
    <w:p>
      <w:pPr>
        <w:pStyle w:val="BodyText"/>
      </w:pPr>
      <w:r>
        <w:t xml:space="preserve">Participants choosing to provide in-person venous samples were more likely to be male, white, unvaccinated, and living in an urban area (</w:t>
      </w:r>
      <w:r>
        <w:rPr>
          <w:bCs/>
          <w:b/>
        </w:rPr>
        <w:t xml:space="preserve">Fig. 1</w:t>
      </w:r>
      <w:r>
        <w:t xml:space="preserve">). After propensity score weighting with balance achieved, venous samples were 223% more likely to be Anti-N positive (OR: 3.33, 95% CI: 2.78 - 4.01) and 27% more likely to be Anti-S positive (OR: 1.27, 95% CI: 1.08 - 1.49). Among Anti-S antibody positive samples, venous samples had significantly higher quantitative anti-S levels (</w:t>
      </w:r>
      <w:r>
        <w:rPr>
          <w:bCs/>
          <w:b/>
        </w:rPr>
        <w:t xml:space="preserve">Fig. 2</w:t>
      </w:r>
      <w:r>
        <w:t xml:space="preserve">), which is tested using Kolmogorov-Smirnov (KS) Test.</w:t>
      </w:r>
    </w:p>
    <w:p>
      <w:pPr>
        <w:pStyle w:val="BodyText"/>
      </w:pPr>
      <w:r>
        <w:t xml:space="preserve">We observed significant differences in sampling method preferences across provinces. Compared to British Columbia (BC), participants in Ontario (ON) and Quebec (QC) preferred in-person venous sampling. In the Atlantic provinces, however, there was a preference for at-home DBS sampling over the venous sampling approach. Stratified analysis by province revealed that these trends were mostly consistent with national-level data analysis, except for QC. In QC, higher average COVID-19 incidence (per 100,000 participants) was associated with increased propensity (OR: 1.05, 95% CI: 1.02 - 1.09) for in-person venous sampling, unlike other provinces.</w:t>
      </w:r>
    </w:p>
    <w:p>
      <w:pPr>
        <w:pStyle w:val="BodyText"/>
      </w:pPr>
      <w:r>
        <w:t xml:space="preserve">Our findings contrast with prior reports that serological tests perform similarly in DBS and venous samples</w:t>
      </w:r>
      <w:r>
        <w:t xml:space="preserve"> </w:t>
      </w:r>
      <w:r>
        <w:t xml:space="preserve">[5–7]</w:t>
      </w:r>
      <w:r>
        <w:t xml:space="preserve"> </w:t>
      </w:r>
      <w:r>
        <w:t xml:space="preserve">and suggest that more work is needed to understand how different assays perform on DBS samples, and the provincial variations in choosing sampling methods at the behavioral level.</w:t>
      </w:r>
    </w:p>
    <w:p>
      <w:pPr>
        <w:pStyle w:val="BodyText"/>
      </w:pPr>
    </w:p>
    <w:bookmarkEnd w:id="20"/>
    <w:bookmarkStart w:id="27" w:name="figure"/>
    <w:p>
      <w:pPr>
        <w:pStyle w:val="Heading1"/>
      </w:pPr>
      <w:r>
        <w:t xml:space="preserve">Figure</w:t>
      </w:r>
    </w:p>
    <w:p>
      <w:pPr>
        <w:pStyle w:val="FirstParagraph"/>
      </w:pPr>
      <w:r>
        <w:rPr>
          <w:bCs/>
          <w:b/>
        </w:rPr>
        <w:t xml:space="preserve">Figure 1</w:t>
      </w:r>
      <w:r>
        <w:t xml:space="preserve">: Odds ratios from the propensity score model predicting who is more likely to give an in-person venous sample vs. mailed DBS sample</w:t>
      </w:r>
    </w:p>
    <w:p>
      <w:pPr>
        <w:pStyle w:val="BodyText"/>
      </w:pPr>
      <w:r>
        <w:drawing>
          <wp:inline>
            <wp:extent cx="5943600" cy="356615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./4_output/figs/Fig.3%20OR%20Plot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Adjusted: Odds ratios from the propensity score model, which is a multivariate logistic regression model.</w:t>
      </w:r>
    </w:p>
    <w:p>
      <w:pPr>
        <w:numPr>
          <w:ilvl w:val="0"/>
          <w:numId w:val="1001"/>
        </w:numPr>
        <w:pStyle w:val="Compact"/>
      </w:pPr>
      <w:r>
        <w:t xml:space="preserve">Unadjusted: Odds ratios from each simple logistic regression model, regressing on venous blood sampling against DBS sampling.</w:t>
      </w:r>
    </w:p>
    <w:p>
      <w:pPr>
        <w:numPr>
          <w:ilvl w:val="0"/>
          <w:numId w:val="1001"/>
        </w:numPr>
        <w:pStyle w:val="Compact"/>
      </w:pPr>
      <w:r>
        <w:t xml:space="preserve">Weighted: Odds ratios from simple logistic regression models comparing the difference between two sampling groups, using weights from IPTW.</w:t>
      </w:r>
    </w:p>
    <w:p>
      <w:pPr>
        <w:pStyle w:val="FirstParagraph"/>
      </w:pPr>
      <w:r>
        <w:rPr>
          <w:bCs/>
          <w:b/>
        </w:rPr>
        <w:t xml:space="preserve">Figure 2</w:t>
      </w:r>
      <w:r>
        <w:t xml:space="preserve">: Empirical cumulative distribution function for the quantitative Anti-S level among participants who tested positive on the Anti-S assay. Venous samples tended to have higher Anti-S levels compared to DBS. 8.43% of venous samples were above the assay’s upper limit of detection, compared to 0% of DBS.</w:t>
      </w:r>
    </w:p>
    <w:p>
      <w:pPr>
        <w:pStyle w:val="BodyText"/>
      </w:pPr>
      <w:r>
        <w:drawing>
          <wp:inline>
            <wp:extent cx="4893110" cy="3669832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./4_output/figs/Fig.1c%20Weighted%20eCDF%20Anti-S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11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7"/>
    <w:bookmarkStart w:id="44" w:name="references"/>
    <w:p>
      <w:pPr>
        <w:pStyle w:val="Heading1"/>
      </w:pPr>
      <w:r>
        <w:t xml:space="preserve">References</w:t>
      </w:r>
    </w:p>
    <w:bookmarkStart w:id="43" w:name="refs"/>
    <w:bookmarkStart w:id="29" w:name="ref-Wiens2022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Wiens KE, Jauregui B, Arnold BF, et al. Building an integrated serosurveillance platform to inform public health interventions:</w:t>
      </w:r>
      <w:r>
        <w:t xml:space="preserve"> </w:t>
      </w:r>
      <w:r>
        <w:t xml:space="preserve">Insights</w:t>
      </w:r>
      <w:r>
        <w:t xml:space="preserve"> </w:t>
      </w:r>
      <w:r>
        <w:t xml:space="preserve">from an experts’ meeting on serum biomarkers.</w:t>
      </w:r>
      <w:r>
        <w:t xml:space="preserve"> </w:t>
      </w:r>
      <w:r>
        <w:rPr>
          <w:iCs/>
          <w:i/>
        </w:rPr>
        <w:t xml:space="preserve">PLOS Neglected Tropical Diseases</w:t>
      </w:r>
      <w:r>
        <w:t xml:space="preserve">. 2022;16(10):e0010657. doi:</w:t>
      </w:r>
      <w:hyperlink r:id="rId28">
        <w:r>
          <w:rPr>
            <w:rStyle w:val="Hyperlink"/>
          </w:rPr>
          <w:t xml:space="preserve">10.1371/journal.pntd.0010657</w:t>
        </w:r>
      </w:hyperlink>
    </w:p>
    <w:bookmarkEnd w:id="29"/>
    <w:bookmarkStart w:id="31" w:name="ref-Drakeley2005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Drakeley CJ, Corran PH, Coleman PG, et al. Estimating medium- and long-term trends in malaria transmission by using serological markers of malaria exposure.</w:t>
      </w:r>
      <w:r>
        <w:t xml:space="preserve"> </w:t>
      </w:r>
      <w:r>
        <w:rPr>
          <w:iCs/>
          <w:i/>
        </w:rPr>
        <w:t xml:space="preserve">Proceedings of the National Academy of Sciences of the United States of America</w:t>
      </w:r>
      <w:r>
        <w:t xml:space="preserve">. 2005;102(14):5108-5113. doi:</w:t>
      </w:r>
      <w:hyperlink r:id="rId30">
        <w:r>
          <w:rPr>
            <w:rStyle w:val="Hyperlink"/>
          </w:rPr>
          <w:t xml:space="preserve">10.1073/pnas.0408725102</w:t>
        </w:r>
      </w:hyperlink>
    </w:p>
    <w:bookmarkEnd w:id="31"/>
    <w:bookmarkStart w:id="33" w:name="ref-Russell2019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Russell WA, Stramer SL, Busch MP, Custer B. Screening the</w:t>
      </w:r>
      <w:r>
        <w:t xml:space="preserve"> </w:t>
      </w:r>
      <w:r>
        <w:t xml:space="preserve">Blood Supply</w:t>
      </w:r>
      <w:r>
        <w:t xml:space="preserve"> </w:t>
      </w:r>
      <w:r>
        <w:t xml:space="preserve">for</w:t>
      </w:r>
      <w:r>
        <w:t xml:space="preserve"> </w:t>
      </w:r>
      <w:r>
        <w:t xml:space="preserve">Zika Virus</w:t>
      </w:r>
      <w:r>
        <w:t xml:space="preserve"> </w:t>
      </w:r>
      <w:r>
        <w:t xml:space="preserve">in the 50</w:t>
      </w:r>
      <w:r>
        <w:t xml:space="preserve"> </w:t>
      </w:r>
      <w:r>
        <w:t xml:space="preserve">U</w:t>
      </w:r>
      <w:r>
        <w:t xml:space="preserve">.</w:t>
      </w:r>
      <w:r>
        <w:t xml:space="preserve">S</w:t>
      </w:r>
      <w:r>
        <w:t xml:space="preserve">.</w:t>
      </w:r>
      <w:r>
        <w:t xml:space="preserve"> </w:t>
      </w:r>
      <w:r>
        <w:t xml:space="preserve">States</w:t>
      </w:r>
      <w:r>
        <w:t xml:space="preserve"> </w:t>
      </w:r>
      <w:r>
        <w:t xml:space="preserve">and</w:t>
      </w:r>
      <w:r>
        <w:t xml:space="preserve"> </w:t>
      </w:r>
      <w:r>
        <w:t xml:space="preserve">Puerto Rico</w:t>
      </w:r>
      <w:r>
        <w:t xml:space="preserve">.</w:t>
      </w:r>
      <w:r>
        <w:t xml:space="preserve"> </w:t>
      </w:r>
      <w:r>
        <w:rPr>
          <w:iCs/>
          <w:i/>
        </w:rPr>
        <w:t xml:space="preserve">Annals of Internal Medicine</w:t>
      </w:r>
      <w:r>
        <w:t xml:space="preserve">. 2019;170(3):164-174. doi:</w:t>
      </w:r>
      <w:hyperlink r:id="rId32">
        <w:r>
          <w:rPr>
            <w:rStyle w:val="Hyperlink"/>
          </w:rPr>
          <w:t xml:space="preserve">10.7326/M18-2238</w:t>
        </w:r>
      </w:hyperlink>
    </w:p>
    <w:bookmarkEnd w:id="33"/>
    <w:bookmarkStart w:id="35" w:name="ref-Simmonds2011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Simmonds MJ, Baskurt OK, Meiselman HJ, Marshall-Gradisnik SM. A comparison of capillary and venous blood sampling methods for the use in haemorheology studies.</w:t>
      </w:r>
      <w:r>
        <w:t xml:space="preserve"> </w:t>
      </w:r>
      <w:r>
        <w:rPr>
          <w:iCs/>
          <w:i/>
        </w:rPr>
        <w:t xml:space="preserve">Clinical Hemorheology and Microcirculation</w:t>
      </w:r>
      <w:r>
        <w:t xml:space="preserve">. 2011;47(2):111-119. doi:</w:t>
      </w:r>
      <w:hyperlink r:id="rId34">
        <w:r>
          <w:rPr>
            <w:rStyle w:val="Hyperlink"/>
          </w:rPr>
          <w:t xml:space="preserve">10.3233/CH-2010-1372</w:t>
        </w:r>
      </w:hyperlink>
    </w:p>
    <w:bookmarkEnd w:id="35"/>
    <w:bookmarkStart w:id="37" w:name="ref-Zava2021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Zava TT, Zava DT. Validation of dried blood spot sample modifications to two commercially available</w:t>
      </w:r>
      <w:r>
        <w:t xml:space="preserve"> </w:t>
      </w:r>
      <w:r>
        <w:t xml:space="preserve">COVID-19 IgG</w:t>
      </w:r>
      <w:r>
        <w:t xml:space="preserve"> </w:t>
      </w:r>
      <w:r>
        <w:t xml:space="preserve">antibody immunoassays.</w:t>
      </w:r>
      <w:r>
        <w:t xml:space="preserve"> </w:t>
      </w:r>
      <w:r>
        <w:rPr>
          <w:iCs/>
          <w:i/>
        </w:rPr>
        <w:t xml:space="preserve">Bioanalysis</w:t>
      </w:r>
      <w:r>
        <w:t xml:space="preserve">. 2021;13(1):13-28. doi:</w:t>
      </w:r>
      <w:hyperlink r:id="rId36">
        <w:r>
          <w:rPr>
            <w:rStyle w:val="Hyperlink"/>
          </w:rPr>
          <w:t xml:space="preserve">10.4155/bio-2020-0289</w:t>
        </w:r>
      </w:hyperlink>
    </w:p>
    <w:bookmarkEnd w:id="37"/>
    <w:bookmarkStart w:id="39" w:name="ref-Meyers2021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Meyers E, Heytens S, Formukong A, et al. Comparison of</w:t>
      </w:r>
      <w:r>
        <w:t xml:space="preserve"> </w:t>
      </w:r>
      <w:r>
        <w:t xml:space="preserve">Dried Blood Spots</w:t>
      </w:r>
      <w:r>
        <w:t xml:space="preserve"> </w:t>
      </w:r>
      <w:r>
        <w:t xml:space="preserve">and</w:t>
      </w:r>
      <w:r>
        <w:t xml:space="preserve"> </w:t>
      </w:r>
      <w:r>
        <w:t xml:space="preserve">Venous Blood</w:t>
      </w:r>
      <w:r>
        <w:t xml:space="preserve"> </w:t>
      </w:r>
      <w:r>
        <w:t xml:space="preserve">for the</w:t>
      </w:r>
      <w:r>
        <w:t xml:space="preserve"> </w:t>
      </w:r>
      <w:r>
        <w:t xml:space="preserve">Detection</w:t>
      </w:r>
      <w:r>
        <w:t xml:space="preserve"> </w:t>
      </w:r>
      <w:r>
        <w:t xml:space="preserve">of</w:t>
      </w:r>
      <w:r>
        <w:t xml:space="preserve"> </w:t>
      </w:r>
      <w:r>
        <w:t xml:space="preserve">SARS-CoV-2 Antibodies</w:t>
      </w:r>
      <w:r>
        <w:t xml:space="preserve"> </w:t>
      </w:r>
      <w:r>
        <w:t xml:space="preserve">in a</w:t>
      </w:r>
      <w:r>
        <w:t xml:space="preserve"> </w:t>
      </w:r>
      <w:r>
        <w:t xml:space="preserve">Population</w:t>
      </w:r>
      <w:r>
        <w:t xml:space="preserve"> </w:t>
      </w:r>
      <w:r>
        <w:t xml:space="preserve">of</w:t>
      </w:r>
      <w:r>
        <w:t xml:space="preserve"> </w:t>
      </w:r>
      <w:r>
        <w:t xml:space="preserve">Nursing Home Residents</w:t>
      </w:r>
      <w:r>
        <w:t xml:space="preserve">.</w:t>
      </w:r>
      <w:r>
        <w:t xml:space="preserve"> </w:t>
      </w:r>
      <w:r>
        <w:rPr>
          <w:iCs/>
          <w:i/>
        </w:rPr>
        <w:t xml:space="preserve">Microbiology Spectrum</w:t>
      </w:r>
      <w:r>
        <w:t xml:space="preserve">. 2021;9(2):e00178-21. doi:</w:t>
      </w:r>
      <w:hyperlink r:id="rId38">
        <w:r>
          <w:rPr>
            <w:rStyle w:val="Hyperlink"/>
          </w:rPr>
          <w:t xml:space="preserve">10.1128/Spectrum.00178-21</w:t>
        </w:r>
      </w:hyperlink>
    </w:p>
    <w:bookmarkEnd w:id="39"/>
    <w:bookmarkStart w:id="40" w:name="ref-Mackett2022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Mackett K, Oz UE, Naik C, et al. Do instructions for at-home dried blood spot (</w:t>
      </w:r>
      <w:r>
        <w:t xml:space="preserve">DBS</w:t>
      </w:r>
      <w:r>
        <w:t xml:space="preserve">) collection affect the quality of collection?</w:t>
      </w:r>
      <w:r>
        <w:t xml:space="preserve"> </w:t>
      </w:r>
      <w:r>
        <w:t xml:space="preserve">Data</w:t>
      </w:r>
      <w:r>
        <w:t xml:space="preserve"> </w:t>
      </w:r>
      <w:r>
        <w:t xml:space="preserve">from the</w:t>
      </w:r>
      <w:r>
        <w:t xml:space="preserve"> </w:t>
      </w:r>
      <w:r>
        <w:t xml:space="preserve">Canadian Longitudinal Study</w:t>
      </w:r>
      <w:r>
        <w:t xml:space="preserve"> </w:t>
      </w:r>
      <w:r>
        <w:t xml:space="preserve">on</w:t>
      </w:r>
      <w:r>
        <w:t xml:space="preserve"> </w:t>
      </w:r>
      <w:r>
        <w:t xml:space="preserve">Aging</w:t>
      </w:r>
      <w:r>
        <w:t xml:space="preserve"> </w:t>
      </w:r>
      <w:r>
        <w:t xml:space="preserve">(</w:t>
      </w:r>
      <w:r>
        <w:t xml:space="preserve">CLSA</w:t>
      </w:r>
      <w:r>
        <w:t xml:space="preserve">)</w:t>
      </w:r>
      <w:r>
        <w:t xml:space="preserve"> </w:t>
      </w:r>
      <w:r>
        <w:t xml:space="preserve">COVID-19</w:t>
      </w:r>
      <w:r>
        <w:t xml:space="preserve"> </w:t>
      </w:r>
      <w:r>
        <w:t xml:space="preserve">seroprevalence study.</w:t>
      </w:r>
      <w:r>
        <w:t xml:space="preserve"> </w:t>
      </w:r>
      <w:r>
        <w:rPr>
          <w:iCs/>
          <w:i/>
        </w:rPr>
        <w:t xml:space="preserve">Clinical Biochemistry</w:t>
      </w:r>
      <w:r>
        <w:t xml:space="preserve">. 2022:115-115.</w:t>
      </w:r>
    </w:p>
    <w:bookmarkEnd w:id="40"/>
    <w:bookmarkStart w:id="42" w:name="ref-Raina2019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Raina P, Wolfson C, Kirkland S, et al. Cohort</w:t>
      </w:r>
      <w:r>
        <w:t xml:space="preserve"> </w:t>
      </w:r>
      <w:r>
        <w:t xml:space="preserve">Profile</w:t>
      </w:r>
      <w:r>
        <w:t xml:space="preserve">:</w:t>
      </w:r>
      <w:r>
        <w:t xml:space="preserve"> </w:t>
      </w:r>
      <w:r>
        <w:t xml:space="preserve">The Canadian Longitudinal Study</w:t>
      </w:r>
      <w:r>
        <w:t xml:space="preserve"> </w:t>
      </w:r>
      <w:r>
        <w:t xml:space="preserve">on</w:t>
      </w:r>
      <w:r>
        <w:t xml:space="preserve"> </w:t>
      </w:r>
      <w:r>
        <w:t xml:space="preserve">Aging</w:t>
      </w:r>
      <w:r>
        <w:t xml:space="preserve"> </w:t>
      </w:r>
      <w:r>
        <w:t xml:space="preserve">(</w:t>
      </w:r>
      <w:r>
        <w:t xml:space="preserve">CLSA</w:t>
      </w:r>
      <w:r>
        <w:t xml:space="preserve">).</w:t>
      </w:r>
      <w:r>
        <w:t xml:space="preserve"> </w:t>
      </w:r>
      <w:r>
        <w:rPr>
          <w:iCs/>
          <w:i/>
        </w:rPr>
        <w:t xml:space="preserve">International Journal of Epidemiology</w:t>
      </w:r>
      <w:r>
        <w:t xml:space="preserve">. 2019;48(6):1752-1753j. doi:</w:t>
      </w:r>
      <w:hyperlink r:id="rId41">
        <w:r>
          <w:rPr>
            <w:rStyle w:val="Hyperlink"/>
          </w:rPr>
          <w:t xml:space="preserve">10.1093/ije/dyz173</w:t>
        </w:r>
      </w:hyperlink>
    </w:p>
    <w:bookmarkEnd w:id="42"/>
    <w:bookmarkEnd w:id="43"/>
    <w:bookmarkEnd w:id="44"/>
    <w:sectPr w:rsidR="00506710" w:rsidRPr="00506710" w:rsidSect="00A42BFA">
      <w:footerReference r:id="rId9" w:type="default"/>
      <w:pgSz w:h="15840" w:w="12240"/>
      <w:pgMar w:bottom="1440" w:footer="720" w:gutter="0" w:header="720" w:left="1440" w:right="144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2329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17B75" w14:textId="03C47B60" w:rsidR="003B2F2D" w:rsidRDefault="003B2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B981A" w14:textId="77777777" w:rsidR="003B2F2D" w:rsidRDefault="003B2F2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76ED64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38660A0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24E1F3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BB083A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B394A76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CC26A2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7B2005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C742A0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6F63F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CE82E7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14267CC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3AC4025"/>
    <w:multiLevelType w:val="hybridMultilevel"/>
    <w:tmpl w:val="EDB03E1C"/>
    <w:lvl w:ilvl="0" w:tplc="28AC975A">
      <w:start w:val="1"/>
      <w:numFmt w:val="decimal"/>
      <w:lvlText w:val="1.%1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2C1AE401"/>
    <w:multiLevelType w:val="multilevel"/>
    <w:tmpl w:val="12406B6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5FFD2A3C"/>
    <w:multiLevelType w:val="hybridMultilevel"/>
    <w:tmpl w:val="C910249A"/>
    <w:lvl w:ilvl="0" w:tplc="27AEA6C8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118212209" w:numId="1">
    <w:abstractNumId w:val="10"/>
  </w:num>
  <w:num w16cid:durableId="998389692" w:numId="2">
    <w:abstractNumId w:val="10"/>
  </w:num>
  <w:num w16cid:durableId="439180562" w:numId="3">
    <w:abstractNumId w:val="9"/>
  </w:num>
  <w:num w16cid:durableId="1653675525" w:numId="4">
    <w:abstractNumId w:val="7"/>
  </w:num>
  <w:num w16cid:durableId="1868980495" w:numId="5">
    <w:abstractNumId w:val="6"/>
  </w:num>
  <w:num w16cid:durableId="949320869" w:numId="6">
    <w:abstractNumId w:val="5"/>
  </w:num>
  <w:num w16cid:durableId="567542100" w:numId="7">
    <w:abstractNumId w:val="4"/>
  </w:num>
  <w:num w16cid:durableId="2093117603" w:numId="8">
    <w:abstractNumId w:val="8"/>
  </w:num>
  <w:num w16cid:durableId="1766725606" w:numId="9">
    <w:abstractNumId w:val="3"/>
  </w:num>
  <w:num w16cid:durableId="1836721295" w:numId="10">
    <w:abstractNumId w:val="2"/>
  </w:num>
  <w:num w16cid:durableId="957374429" w:numId="11">
    <w:abstractNumId w:val="1"/>
  </w:num>
  <w:num w16cid:durableId="1315111753" w:numId="12">
    <w:abstractNumId w:val="0"/>
  </w:num>
  <w:num w16cid:durableId="358045098" w:numId="13">
    <w:abstractNumId w:val="13"/>
  </w:num>
  <w:num w16cid:durableId="2065591830" w:numId="14">
    <w:abstractNumId w:val="11"/>
  </w:num>
  <w:num w16cid:durableId="1816333358" w:numId="15">
    <w:abstractNumId w:val="0"/>
  </w:num>
  <w:num w16cid:durableId="1689911979" w:numId="16">
    <w:abstractNumId w:val="1"/>
  </w:num>
  <w:num w16cid:durableId="1450009536" w:numId="17">
    <w:abstractNumId w:val="2"/>
  </w:num>
  <w:num w16cid:durableId="62608426" w:numId="18">
    <w:abstractNumId w:val="3"/>
  </w:num>
  <w:num w16cid:durableId="1604651232" w:numId="19">
    <w:abstractNumId w:val="8"/>
  </w:num>
  <w:num w16cid:durableId="1610769812" w:numId="20">
    <w:abstractNumId w:val="4"/>
  </w:num>
  <w:num w16cid:durableId="1917740920" w:numId="21">
    <w:abstractNumId w:val="5"/>
  </w:num>
  <w:num w16cid:durableId="1850560295" w:numId="22">
    <w:abstractNumId w:val="6"/>
  </w:num>
  <w:num w16cid:durableId="373504526" w:numId="23">
    <w:abstractNumId w:val="7"/>
  </w:num>
  <w:num w16cid:durableId="307517742" w:numId="24">
    <w:abstractNumId w:val="9"/>
  </w:num>
  <w:num w16cid:durableId="2109815658" w:numId="25">
    <w:abstractNumId w:val="0"/>
  </w:num>
  <w:num w16cid:durableId="1222863152" w:numId="26">
    <w:abstractNumId w:val="1"/>
  </w:num>
  <w:num w16cid:durableId="1828477482" w:numId="27">
    <w:abstractNumId w:val="2"/>
  </w:num>
  <w:num w16cid:durableId="1215119757" w:numId="28">
    <w:abstractNumId w:val="3"/>
  </w:num>
  <w:num w16cid:durableId="1940983189" w:numId="29">
    <w:abstractNumId w:val="8"/>
  </w:num>
  <w:num w16cid:durableId="85080593" w:numId="30">
    <w:abstractNumId w:val="4"/>
  </w:num>
  <w:num w16cid:durableId="143158434" w:numId="31">
    <w:abstractNumId w:val="5"/>
  </w:num>
  <w:num w16cid:durableId="2026050233" w:numId="32">
    <w:abstractNumId w:val="6"/>
  </w:num>
  <w:num w16cid:durableId="638190012" w:numId="33">
    <w:abstractNumId w:val="7"/>
  </w:num>
  <w:num w16cid:durableId="2055305312" w:numId="34">
    <w:abstractNumId w:val="9"/>
  </w:num>
  <w:num w16cid:durableId="944458106" w:numId="35">
    <w:abstractNumId w:val="0"/>
  </w:num>
  <w:num w16cid:durableId="283467524" w:numId="36">
    <w:abstractNumId w:val="1"/>
  </w:num>
  <w:num w16cid:durableId="328018944" w:numId="37">
    <w:abstractNumId w:val="2"/>
  </w:num>
  <w:num w16cid:durableId="1681815030" w:numId="38">
    <w:abstractNumId w:val="3"/>
  </w:num>
  <w:num w16cid:durableId="898636941" w:numId="39">
    <w:abstractNumId w:val="8"/>
  </w:num>
  <w:num w16cid:durableId="930624238" w:numId="40">
    <w:abstractNumId w:val="4"/>
  </w:num>
  <w:num w16cid:durableId="1414550695" w:numId="41">
    <w:abstractNumId w:val="5"/>
  </w:num>
  <w:num w16cid:durableId="2138061571" w:numId="42">
    <w:abstractNumId w:val="6"/>
  </w:num>
  <w:num w16cid:durableId="294069404" w:numId="43">
    <w:abstractNumId w:val="7"/>
  </w:num>
  <w:num w16cid:durableId="503012756" w:numId="44">
    <w:abstractNumId w:val="9"/>
  </w:num>
  <w:num w16cid:durableId="1727484959" w:numId="45">
    <w:abstractNumId w:val="0"/>
  </w:num>
  <w:num w16cid:durableId="949046911" w:numId="46">
    <w:abstractNumId w:val="1"/>
  </w:num>
  <w:num w16cid:durableId="1980374653" w:numId="47">
    <w:abstractNumId w:val="2"/>
  </w:num>
  <w:num w16cid:durableId="1445539245" w:numId="48">
    <w:abstractNumId w:val="3"/>
  </w:num>
  <w:num w16cid:durableId="1604991112" w:numId="49">
    <w:abstractNumId w:val="8"/>
  </w:num>
  <w:num w16cid:durableId="1156647071" w:numId="50">
    <w:abstractNumId w:val="4"/>
  </w:num>
  <w:num w16cid:durableId="530920288" w:numId="51">
    <w:abstractNumId w:val="5"/>
  </w:num>
  <w:num w16cid:durableId="1220937960" w:numId="52">
    <w:abstractNumId w:val="6"/>
  </w:num>
  <w:num w16cid:durableId="315185155" w:numId="53">
    <w:abstractNumId w:val="7"/>
  </w:num>
  <w:num w16cid:durableId="1938516098" w:numId="5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C1E9D"/>
    <w:pPr>
      <w:spacing w:line="360" w:lineRule="auto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1D6EB1"/>
    <w:pPr>
      <w:keepNext/>
      <w:keepLines/>
      <w:spacing w:after="0" w:line="480" w:lineRule="auto"/>
      <w:contextualSpacing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F67C7"/>
    <w:pPr>
      <w:keepNext/>
      <w:keepLines/>
      <w:spacing w:after="0" w:line="480" w:lineRule="auto"/>
      <w:contextualSpacing/>
      <w:outlineLvl w:val="2"/>
    </w:pPr>
    <w:rPr>
      <w:rFonts w:cstheme="majorBidi" w:eastAsiaTheme="majorEastAsia"/>
      <w:bCs/>
      <w:i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jc w:val="center"/>
      <w:outlineLvl w:val="3"/>
    </w:pPr>
    <w:rPr>
      <w:rFonts w:cstheme="majorBidi" w:eastAsiaTheme="majorEastAsia"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D2FC5"/>
    <w:pPr>
      <w:keepNext/>
      <w:keepLines/>
      <w:pageBreakBefore/>
      <w:spacing w:after="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rsid w:val="00776866"/>
    <w:pPr>
      <w:keepNext/>
      <w:keepLines/>
      <w:spacing w:after="0" w:before="200"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unhideWhenUsed/>
    <w:qFormat/>
    <w:rsid w:val="008967DE"/>
    <w:pPr>
      <w:keepNext/>
      <w:keepLines/>
      <w:spacing w:after="120" w:before="200"/>
      <w:outlineLvl w:val="6"/>
    </w:pPr>
    <w:rPr>
      <w:rFonts w:cstheme="majorBidi" w:eastAsiaTheme="majorEastAsia"/>
      <w:b/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FD4880"/>
    <w:pPr>
      <w:keepNext/>
      <w:keepLines/>
      <w:spacing w:after="0" w:before="200" w:line="480" w:lineRule="auto"/>
      <w:jc w:val="center"/>
      <w:outlineLvl w:val="7"/>
    </w:pPr>
    <w:rPr>
      <w:rFonts w:cstheme="majorBidi" w:eastAsiaTheme="majorEastAsia"/>
      <w:b/>
      <w:smallCaps/>
      <w:sz w:val="28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5091"/>
    <w:pPr>
      <w:spacing w:after="0" w:line="432" w:lineRule="auto"/>
      <w:contextualSpacing/>
    </w:pPr>
  </w:style>
  <w:style w:customStyle="1" w:styleId="FirstParagraph" w:type="paragraph">
    <w:name w:val="First Paragraph"/>
    <w:basedOn w:val="BodyText"/>
    <w:next w:val="BodyText"/>
    <w:qFormat/>
    <w:rsid w:val="00A66956"/>
  </w:style>
  <w:style w:customStyle="1" w:styleId="Compact" w:type="paragraph">
    <w:name w:val="Compact"/>
    <w:basedOn w:val="BodyText"/>
    <w:qFormat/>
    <w:rsid w:val="00627127"/>
    <w:pPr>
      <w:spacing w:after="240" w:line="240" w:lineRule="auto"/>
    </w:pPr>
  </w:style>
  <w:style w:styleId="Title" w:type="paragraph">
    <w:name w:val="Title"/>
    <w:basedOn w:val="Normal"/>
    <w:next w:val="BodyText"/>
    <w:qFormat/>
    <w:rsid w:val="00CE750A"/>
    <w:pPr>
      <w:keepNext/>
      <w:keepLines/>
      <w:spacing w:after="240" w:before="480" w:line="480" w:lineRule="auto"/>
      <w:jc w:val="center"/>
    </w:pPr>
    <w:rPr>
      <w:rFonts w:cstheme="majorBidi" w:eastAsiaTheme="majorEastAsia"/>
      <w:b/>
      <w:bCs/>
      <w:smallCaps/>
      <w:sz w:val="28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F734CF"/>
    <w:pPr>
      <w:spacing w:after="80"/>
      <w:ind w:hanging="360" w:left="360"/>
    </w:pPr>
  </w:style>
  <w:style w:styleId="BlockText" w:type="paragraph">
    <w:name w:val="Block Text"/>
    <w:basedOn w:val="BodyText"/>
    <w:next w:val="BodyText"/>
    <w:uiPriority w:val="9"/>
    <w:unhideWhenUsed/>
    <w:qFormat/>
    <w:rsid w:val="00C53802"/>
    <w:pPr>
      <w:ind w:firstLine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EB5C6A"/>
    <w:pPr>
      <w:spacing w:after="120"/>
    </w:p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EB3A58"/>
    <w:pPr>
      <w:jc w:val="center"/>
    </w:p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EB5C6A"/>
    <w:rPr>
      <w:rFonts w:ascii="Times New Roman" w:hAnsi="Times New Roman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rFonts w:ascii="Times New Roman" w:hAnsi="Times New Roman"/>
      <w:vertAlign w:val="superscript"/>
    </w:rPr>
  </w:style>
  <w:style w:styleId="Hyperlink" w:type="character">
    <w:name w:val="Hyperlink"/>
    <w:basedOn w:val="CaptionChar"/>
    <w:rPr>
      <w:rFonts w:ascii="Times New Roman" w:hAnsi="Times New Roman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6F5091"/>
    <w:rPr>
      <w:sz w:val="22"/>
    </w:rPr>
  </w:style>
  <w:style w:styleId="Header" w:type="paragraph">
    <w:name w:val="header"/>
    <w:basedOn w:val="Normal"/>
    <w:link w:val="HeaderChar"/>
    <w:unhideWhenUsed/>
    <w:rsid w:val="003B2F2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B2F2D"/>
  </w:style>
  <w:style w:styleId="Footer" w:type="paragraph">
    <w:name w:val="footer"/>
    <w:basedOn w:val="Normal"/>
    <w:link w:val="FooterChar"/>
    <w:uiPriority w:val="99"/>
    <w:unhideWhenUsed/>
    <w:rsid w:val="003B2F2D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B2F2D"/>
  </w:style>
  <w:style w:styleId="BalloonText" w:type="paragraph">
    <w:name w:val="Balloon Text"/>
    <w:basedOn w:val="Normal"/>
    <w:link w:val="BalloonTextChar"/>
    <w:semiHidden/>
    <w:unhideWhenUsed/>
    <w:rsid w:val="00846B2C"/>
    <w:pPr>
      <w:spacing w:after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846B2C"/>
    <w:rPr>
      <w:rFonts w:ascii="Segoe UI" w:cs="Segoe UI" w:hAnsi="Segoe UI"/>
      <w:sz w:val="18"/>
      <w:szCs w:val="18"/>
    </w:rPr>
  </w:style>
  <w:style w:customStyle="1" w:styleId="hiddenline" w:type="paragraph">
    <w:name w:val="hidden_line"/>
    <w:basedOn w:val="Heading2"/>
    <w:qFormat/>
    <w:rsid w:val="00AD30A6"/>
    <w:pPr>
      <w:spacing w:line="240" w:lineRule="auto"/>
    </w:pPr>
    <w:rPr>
      <w:color w:themeColor="background1" w:val="FFFFFF"/>
      <w:sz w:val="2"/>
    </w:rPr>
  </w:style>
  <w:style w:styleId="PlaceholderText" w:type="character">
    <w:name w:val="Placeholder Text"/>
    <w:basedOn w:val="DefaultParagraphFont"/>
    <w:semiHidden/>
    <w:rsid w:val="005067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30" Target="https://doi.org/10.1073/pnas.0408725102" TargetMode="External" /><Relationship Type="http://schemas.openxmlformats.org/officeDocument/2006/relationships/hyperlink" Id="rId41" Target="https://doi.org/10.1093/ije/dyz173" TargetMode="External" /><Relationship Type="http://schemas.openxmlformats.org/officeDocument/2006/relationships/hyperlink" Id="rId38" Target="https://doi.org/10.1128/Spectrum.00178-21" TargetMode="External" /><Relationship Type="http://schemas.openxmlformats.org/officeDocument/2006/relationships/hyperlink" Id="rId28" Target="https://doi.org/10.1371/journal.pntd.0010657" TargetMode="External" /><Relationship Type="http://schemas.openxmlformats.org/officeDocument/2006/relationships/hyperlink" Id="rId34" Target="https://doi.org/10.3233/CH-2010-1372" TargetMode="External" /><Relationship Type="http://schemas.openxmlformats.org/officeDocument/2006/relationships/hyperlink" Id="rId36" Target="https://doi.org/10.4155/bio-2020-0289" TargetMode="External" /><Relationship Type="http://schemas.openxmlformats.org/officeDocument/2006/relationships/hyperlink" Id="rId32" Target="https://doi.org/10.7326/M18-223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i.org/10.1073/pnas.0408725102" TargetMode="External" /><Relationship Type="http://schemas.openxmlformats.org/officeDocument/2006/relationships/hyperlink" Id="rId41" Target="https://doi.org/10.1093/ije/dyz173" TargetMode="External" /><Relationship Type="http://schemas.openxmlformats.org/officeDocument/2006/relationships/hyperlink" Id="rId38" Target="https://doi.org/10.1128/Spectrum.00178-21" TargetMode="External" /><Relationship Type="http://schemas.openxmlformats.org/officeDocument/2006/relationships/hyperlink" Id="rId28" Target="https://doi.org/10.1371/journal.pntd.0010657" TargetMode="External" /><Relationship Type="http://schemas.openxmlformats.org/officeDocument/2006/relationships/hyperlink" Id="rId34" Target="https://doi.org/10.3233/CH-2010-1372" TargetMode="External" /><Relationship Type="http://schemas.openxmlformats.org/officeDocument/2006/relationships/hyperlink" Id="rId36" Target="https://doi.org/10.4155/bio-2020-0289" TargetMode="External" /><Relationship Type="http://schemas.openxmlformats.org/officeDocument/2006/relationships/hyperlink" Id="rId32" Target="https://doi.org/10.7326/M18-223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dried blood spot sample collection on SARS-CoV-2 antibody test results in a serological study of older Canadians</dc:title>
  <dc:creator/>
  <cp:keywords/>
  <dcterms:created xsi:type="dcterms:W3CDTF">2023-11-14T17:06:55Z</dcterms:created>
  <dcterms:modified xsi:type="dcterms:W3CDTF">2023-11-14T17:06:55Z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biball.bib</vt:lpwstr>
  </property>
  <property fmtid="{D5CDD505-2E9C-101B-9397-08002B2CF9AE}" pid="4" name="crossref">
    <vt:lpwstr/>
  </property>
  <property fmtid="{D5CDD505-2E9C-101B-9397-08002B2CF9AE}" pid="5" name="csl">
    <vt:lpwstr>american-medical-association-brackets.csl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