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21.png" ContentType="image/png"/>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p>
    <w:p>
      <w:pPr>
        <w:pStyle w:val="FirstParagraph"/>
      </w:pPr>
      <w:r>
        <w:t xml:space="preserve">Here we describe additional details about the methodology used.</w:t>
      </w:r>
    </w:p>
    <w:bookmarkStart w:id="20"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w:t>
      </w:r>
      <w:r>
        <w:t xml:space="preserve"> </w:t>
      </w:r>
      <w:r>
        <w:t xml:space="preserve">[1]</w:t>
      </w:r>
      <w:r>
        <w:t xml:space="preserve">. During the COVID-19 pandemic, several studies were conducted to collect and analyze blood samples from CLSA participants, aimed at comprehending and evaluating the pandemic’s population-level health impact.</w:t>
      </w:r>
    </w:p>
    <w:p>
      <w:pPr>
        <w:pStyle w:val="BodyText"/>
      </w:pPr>
      <w:r>
        <w:t xml:space="preserve">The dataset utilized in this study was sourced from the CLSA COVID-19 Antibody Study, with over 19,000 CLSA participants across ten provinces included</w:t>
      </w:r>
      <w:r>
        <w:t xml:space="preserve"> </w:t>
      </w:r>
      <w:r>
        <w:t xml:space="preserve">[1]</w:t>
      </w:r>
      <w:r>
        <w:t xml:space="preserv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For our analysis, we will exclusively utilize data from the comprehensive cohort, as it provides more comprehensive demographic and health condition data. Additionally, we excluded participants residing in regions located more than 50 km from the data collection center, as their extended travel distance is caused by recent relocations subsequent to enrollment in the study. The final sample size included in our analysis was 7,230.</w:t>
      </w:r>
    </w:p>
    <w:p>
      <w:pPr>
        <w:pStyle w:val="BodyText"/>
      </w:pPr>
      <w:r>
        <w:t xml:space="preserve">[Can we cite the CLSA flow chart here? or is it OK to make our own version of it and put it here?]</w:t>
      </w:r>
    </w:p>
    <w:bookmarkEnd w:id="20"/>
    <w:bookmarkStart w:id="27" w:name="X68cf37edebc27083fcd952b5edd362ba198eea5"/>
    <w:p>
      <w:pPr>
        <w:pStyle w:val="Heading2"/>
      </w:pPr>
      <w:r>
        <w:t xml:space="preserve">Bivariate Analysis and Multivariate Regression Modeling</w:t>
      </w:r>
    </w:p>
    <w:p>
      <w:pPr>
        <w:pStyle w:val="FirstParagraph"/>
      </w:pPr>
      <w:r>
        <w:t xml:space="preserve">Before conducting propensity score weighting to calculate weights for each observations and analyze the weighted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regression models and the full model are displayed in the odds ratio plot (</w:t>
      </w:r>
      <w:r>
        <w:rPr>
          <w:bCs/>
          <w:b/>
        </w:rPr>
        <w:t xml:space="preserve">Fig. 1</w:t>
      </w:r>
      <w:r>
        <w:t xml:space="preserve">).</w:t>
      </w:r>
    </w:p>
    <w:p>
      <w:pPr>
        <w:pStyle w:val="BodyText"/>
      </w:pPr>
      <w:r>
        <w:rPr>
          <w:bCs/>
          <w:b/>
        </w:rPr>
        <w:t xml:space="preserve">Figure 1</w:t>
      </w:r>
      <w:r>
        <w:t xml:space="preserve">: Odds ratios from the propensity score model predicting who is more likely to give an in-person venous sample vs. mailed DBS sample</w:t>
      </w:r>
    </w:p>
    <w:p>
      <w:pPr>
        <w:pStyle w:val="BodyText"/>
      </w:pPr>
      <w:r>
        <w:drawing>
          <wp:inline>
            <wp:extent cx="5943600" cy="3566159"/>
            <wp:effectExtent b="0" l="0" r="0" t="0"/>
            <wp:docPr descr="" title="" id="22" name="Picture"/>
            <a:graphic>
              <a:graphicData uri="http://schemas.openxmlformats.org/drawingml/2006/picture">
                <pic:pic>
                  <pic:nvPicPr>
                    <pic:cNvPr descr="../4_output/figs/Fig.3%20OR%20Plot.png" id="23" name="Picture"/>
                    <pic:cNvPicPr>
                      <a:picLocks noChangeArrowheads="1" noChangeAspect="1"/>
                    </pic:cNvPicPr>
                  </pic:nvPicPr>
                  <pic:blipFill>
                    <a:blip r:embed="rId21"/>
                    <a:stretch>
                      <a:fillRect/>
                    </a:stretch>
                  </pic:blipFill>
                  <pic:spPr bwMode="auto">
                    <a:xfrm>
                      <a:off x="0" y="0"/>
                      <a:ext cx="5943600" cy="3566159"/>
                    </a:xfrm>
                    <a:prstGeom prst="rect">
                      <a:avLst/>
                    </a:prstGeom>
                    <a:noFill/>
                    <a:ln w="9525">
                      <a:noFill/>
                      <a:headEnd/>
                      <a:tailEnd/>
                    </a:ln>
                  </pic:spPr>
                </pic:pic>
              </a:graphicData>
            </a:graphic>
          </wp:inline>
        </w:drawing>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weighteded based on their propensity scores using Inverse probability of treatment weighting (IPTW). As depicted in</w:t>
      </w:r>
      <w:r>
        <w:t xml:space="preserve"> </w:t>
      </w:r>
      <w:r>
        <w:rPr>
          <w:bCs/>
          <w:b/>
        </w:rPr>
        <w:t xml:space="preserve">Figure 1</w:t>
      </w:r>
      <w:r>
        <w:t xml:space="preserve">, balance has been achieved between the DBS and VBS groups. All factors used in the propensity score model distribute evenly across the two comparison groups.</w:t>
      </w:r>
    </w:p>
    <w:p>
      <w:pPr>
        <w:pStyle w:val="BodyText"/>
      </w:pPr>
      <w:r>
        <w:t xml:space="preserve">Based on the national data, we conducted a stratified analysis by province. Our study sample included participants from seven provinces, which were recategorized into five groups according to their locations and geographic proximities: British Columbia (BC), Manitoba (MB) &amp; Alberta (AB), Ontario (ON), Quebec (QC), and Newfoundland (NL) &amp; Nova Scotia (NS). The grouping is based on their geographic locations and proximity to each other. The pandemic’s impact varied across these regions, with residents adapting differently to the diverse policies implemented by their respective health departments [add citations]. As illustrated in</w:t>
      </w:r>
      <w:r>
        <w:t xml:space="preserve"> </w:t>
      </w:r>
      <w:r>
        <w:rPr>
          <w:bCs/>
          <w:b/>
        </w:rPr>
        <w:t xml:space="preserve">Figure 3</w:t>
      </w:r>
      <w:r>
        <w:t xml:space="preserve"> </w:t>
      </w:r>
      <w:r>
        <w:t xml:space="preserve">below, the odds ratios for venous blood sampling vary among the five provincial groups.</w:t>
      </w:r>
    </w:p>
    <w:p>
      <w:pPr>
        <w:pStyle w:val="BodyText"/>
      </w:pPr>
      <w:r>
        <w:rPr>
          <w:bCs/>
          <w:b/>
        </w:rPr>
        <w:t xml:space="preserve">Figure 3</w:t>
      </w:r>
      <w:r>
        <w:t xml:space="preserve">: Odds Ratio of Venous Blood Sampling, Stratified by Province Groups</w:t>
      </w:r>
    </w:p>
    <w:p>
      <w:pPr>
        <w:pStyle w:val="BodyText"/>
      </w:pPr>
      <w:r>
        <w:drawing>
          <wp:inline>
            <wp:extent cx="5943600" cy="4953000"/>
            <wp:effectExtent b="0" l="0" r="0" t="0"/>
            <wp:docPr descr="" title="" id="25" name="Picture"/>
            <a:graphic>
              <a:graphicData uri="http://schemas.openxmlformats.org/drawingml/2006/picture">
                <pic:pic>
                  <pic:nvPicPr>
                    <pic:cNvPr descr="../4_output/figs/Fig.4%20OR%20Plot%20by%20prov.png" id="26" name="Picture"/>
                    <pic:cNvPicPr>
                      <a:picLocks noChangeArrowheads="1" noChangeAspect="1"/>
                    </pic:cNvPicPr>
                  </pic:nvPicPr>
                  <pic:blipFill>
                    <a:blip r:embed="rId24"/>
                    <a:stretch>
                      <a:fillRect/>
                    </a:stretch>
                  </pic:blipFill>
                  <pic:spPr bwMode="auto">
                    <a:xfrm>
                      <a:off x="0" y="0"/>
                      <a:ext cx="5943600" cy="4953000"/>
                    </a:xfrm>
                    <a:prstGeom prst="rect">
                      <a:avLst/>
                    </a:prstGeom>
                    <a:noFill/>
                    <a:ln w="9525">
                      <a:noFill/>
                      <a:headEnd/>
                      <a:tailEnd/>
                    </a:ln>
                  </pic:spPr>
                </pic:pic>
              </a:graphicData>
            </a:graphic>
          </wp:inline>
        </w:drawing>
      </w:r>
    </w:p>
    <w:bookmarkEnd w:id="27"/>
    <w:bookmarkStart w:id="34" w:name="analysis-with-weighted-data"/>
    <w:p>
      <w:pPr>
        <w:pStyle w:val="Heading2"/>
      </w:pPr>
      <w:r>
        <w:t xml:space="preserve">Analysis with Weighted Data</w:t>
      </w:r>
    </w:p>
    <w:p>
      <w:pPr>
        <w:pStyle w:val="FirstParagraph"/>
      </w:pPr>
      <w:r>
        <w:t xml:space="preserve">Utilizing weighted data, we further analyzed the differences in assay positivity between the DBS and VBS cohorts. The outcomes of the stratified analysis align with those from the unstratified national dataset. We observed an increased odds of assay positivity in venous blood samples for both anti-N and anti-S assays.</w:t>
      </w:r>
    </w:p>
    <w:p>
      <w:pPr>
        <w:pStyle w:val="BodyText"/>
      </w:pPr>
      <w:r>
        <w:rPr>
          <w:bCs/>
          <w:b/>
        </w:rPr>
        <w:t xml:space="preserve">Figure 4</w:t>
      </w:r>
      <w:r>
        <w:t xml:space="preserve">. Odds Ratio of Assay Positivity, Stratified by Province Groups</w:t>
      </w:r>
    </w:p>
    <w:p>
      <w:pPr>
        <w:pStyle w:val="BodyText"/>
      </w:pPr>
      <w:r>
        <w:drawing>
          <wp:inline>
            <wp:extent cx="5943600" cy="3962400"/>
            <wp:effectExtent b="0" l="0" r="0" t="0"/>
            <wp:docPr descr="" title="" id="29" name="Picture"/>
            <a:graphic>
              <a:graphicData uri="http://schemas.openxmlformats.org/drawingml/2006/picture">
                <pic:pic>
                  <pic:nvPicPr>
                    <pic:cNvPr descr="../4_output/figs/Fig.5%20OR%20Plot%20of%20Anti-N%20&amp;%20S%20by%20prov.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t xml:space="preserve">To analyze the variation in quantitative Anti-S immunoassay results, we employed the weighted empirical cumulative distribution function (eCDF) to visualize the distribution in the DBS and VBS cohorts (</w:t>
      </w:r>
      <w:r>
        <w:rPr>
          <w:bCs/>
          <w:b/>
        </w:rPr>
        <w:t xml:space="preserve">Fig. Y</w:t>
      </w:r>
      <w:r>
        <w:t xml:space="preserve">). We used Kolmogorov-Smirnov (KS) Test to assess whether the distributions are statistically-significantly different.</w:t>
      </w:r>
    </w:p>
    <w:p>
      <w:pPr>
        <w:pStyle w:val="BodyText"/>
      </w:pPr>
      <w:r>
        <w:drawing>
          <wp:inline>
            <wp:extent cx="4893110" cy="3669832"/>
            <wp:effectExtent b="0" l="0" r="0" t="0"/>
            <wp:docPr descr="" title="" id="32" name="Picture"/>
            <a:graphic>
              <a:graphicData uri="http://schemas.openxmlformats.org/drawingml/2006/picture">
                <pic:pic>
                  <pic:nvPicPr>
                    <pic:cNvPr descr="../4_output/figs/Fig.1c%20Weighted%20eCDF%20Anti-S.png" id="33" name="Picture"/>
                    <pic:cNvPicPr>
                      <a:picLocks noChangeArrowheads="1" noChangeAspect="1"/>
                    </pic:cNvPicPr>
                  </pic:nvPicPr>
                  <pic:blipFill>
                    <a:blip r:embed="rId31"/>
                    <a:stretch>
                      <a:fillRect/>
                    </a:stretch>
                  </pic:blipFill>
                  <pic:spPr bwMode="auto">
                    <a:xfrm>
                      <a:off x="0" y="0"/>
                      <a:ext cx="4893110" cy="3669832"/>
                    </a:xfrm>
                    <a:prstGeom prst="rect">
                      <a:avLst/>
                    </a:prstGeom>
                    <a:noFill/>
                    <a:ln w="9525">
                      <a:noFill/>
                      <a:headEnd/>
                      <a:tailEnd/>
                    </a:ln>
                  </pic:spPr>
                </pic:pic>
              </a:graphicData>
            </a:graphic>
          </wp:inline>
        </w:drawing>
      </w:r>
    </w:p>
    <w:p>
      <w:pPr>
        <w:pStyle w:val="BodyText"/>
      </w:pPr>
    </w:p>
    <w:bookmarkEnd w:id="34"/>
    <w:bookmarkStart w:id="38" w:name="references"/>
    <w:p>
      <w:pPr>
        <w:pStyle w:val="Heading1"/>
      </w:pPr>
      <w:r>
        <w:t xml:space="preserve">References</w:t>
      </w:r>
    </w:p>
    <w:bookmarkStart w:id="37" w:name="refs"/>
    <w:bookmarkStart w:id="36" w:name="ref-Raina2019"/>
    <w:p>
      <w:pPr>
        <w:pStyle w:val="Bibliography"/>
      </w:pPr>
      <w:r>
        <w:t xml:space="preserve">1.</w:t>
      </w:r>
      <w:r>
        <w:t xml:space="preserve"> </w:t>
      </w:r>
      <w:r>
        <w:t xml:space="preserve">	</w:t>
      </w:r>
      <w:r>
        <w:t xml:space="preserve">Raina P, Wolfson C, Kirkland S, et al. Cohort</w:t>
      </w:r>
      <w:r>
        <w:t xml:space="preserve"> </w:t>
      </w:r>
      <w:r>
        <w:t xml:space="preserve">Profile</w:t>
      </w:r>
      <w:r>
        <w:t xml:space="preserve">:</w:t>
      </w:r>
      <w:r>
        <w:t xml:space="preserve"> </w:t>
      </w:r>
      <w:r>
        <w:t xml:space="preserve">The Canadian Longitudinal Study</w:t>
      </w:r>
      <w:r>
        <w:t xml:space="preserve"> </w:t>
      </w:r>
      <w:r>
        <w:t xml:space="preserve">on</w:t>
      </w:r>
      <w:r>
        <w:t xml:space="preserve"> </w:t>
      </w:r>
      <w:r>
        <w:t xml:space="preserve">Aging</w:t>
      </w:r>
      <w:r>
        <w:t xml:space="preserve"> </w:t>
      </w:r>
      <w:r>
        <w:t xml:space="preserve">(</w:t>
      </w:r>
      <w:r>
        <w:t xml:space="preserve">CLSA</w:t>
      </w:r>
      <w:r>
        <w:t xml:space="preserve">).</w:t>
      </w:r>
      <w:r>
        <w:t xml:space="preserve"> </w:t>
      </w:r>
      <w:r>
        <w:rPr>
          <w:iCs/>
          <w:i/>
        </w:rPr>
        <w:t xml:space="preserve">International Journal of Epidemiology</w:t>
      </w:r>
      <w:r>
        <w:t xml:space="preserve">. 2019;48(6):1752-1753j. doi:</w:t>
      </w:r>
      <w:hyperlink r:id="rId35">
        <w:r>
          <w:rPr>
            <w:rStyle w:val="Hyperlink"/>
          </w:rPr>
          <w:t xml:space="preserve">10.1093/ije/dyz173</w:t>
        </w:r>
      </w:hyperlink>
    </w:p>
    <w:bookmarkEnd w:id="36"/>
    <w:bookmarkEnd w:id="37"/>
    <w:bookmarkEnd w:id="38"/>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5" Target="https://doi.org/10.1093/ije/dyz173"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93/ije/dyz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dc:title>
  <dc:creator/>
  <cp:keywords/>
  <dcterms:created xsi:type="dcterms:W3CDTF">2023-11-13T16:28:44Z</dcterms:created>
  <dcterms:modified xsi:type="dcterms:W3CDTF">2023-11-13T16:28:44Z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