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</w:t>
      </w:r>
      <w:r>
        <w:t xml:space="preserve"> </w:t>
      </w:r>
      <w:r>
        <w:t xml:space="preserve">in</w:t>
      </w:r>
      <w:r>
        <w:t xml:space="preserve"> </w:t>
      </w:r>
      <w:r>
        <w:t xml:space="preserve">hemoglobin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novel</w:t>
      </w:r>
      <w:r>
        <w:t xml:space="preserve"> </w:t>
      </w:r>
      <w:r>
        <w:t xml:space="preserve">marker</w:t>
      </w:r>
      <w:r>
        <w:t xml:space="preserve"> </w:t>
      </w:r>
      <w:r>
        <w:t xml:space="preserve">for</w:t>
      </w:r>
      <w:r>
        <w:t xml:space="preserve"> </w:t>
      </w:r>
      <w:r>
        <w:t xml:space="preserve">incident</w:t>
      </w:r>
      <w:r>
        <w:t xml:space="preserve"> </w:t>
      </w:r>
      <w:r>
        <w:t xml:space="preserve">iron</w:t>
      </w:r>
      <w:r>
        <w:t xml:space="preserve"> </w:t>
      </w:r>
      <w:r>
        <w:t xml:space="preserve">deficiency</w:t>
      </w:r>
      <w:r>
        <w:t xml:space="preserve"> </w:t>
      </w:r>
      <w:r>
        <w:t xml:space="preserve">in</w:t>
      </w:r>
      <w:r>
        <w:t xml:space="preserve"> </w:t>
      </w:r>
      <w:r>
        <w:t xml:space="preserve">blood</w:t>
      </w:r>
      <w:r>
        <w:t xml:space="preserve"> </w:t>
      </w:r>
      <w:r>
        <w:t xml:space="preserve">donors</w:t>
      </w:r>
    </w:p>
    <w:p>
      <w:pPr>
        <w:pStyle w:val="FirstParagraph"/>
      </w:pPr>
      <w:r>
        <w:t xml:space="preserve">W. Alton Russell</w:t>
      </w:r>
      <w:r>
        <w:rPr>
          <w:vertAlign w:val="superscript"/>
        </w:rPr>
        <w:t xml:space="preserve">1</w:t>
      </w:r>
      <w:r>
        <w:t xml:space="preserve">, others</w:t>
      </w:r>
    </w:p>
    <w:p>
      <w:pPr>
        <w:pStyle w:val="BodyText"/>
      </w:pP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School of Population and Global Health, McGill University, Montreal, Canada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Corresponding author:</w:t>
      </w:r>
    </w:p>
    <w:p>
      <w:pPr>
        <w:pStyle w:val="BodyText"/>
      </w:pPr>
      <w:r>
        <w:rPr>
          <w:b/>
          <w:bCs/>
        </w:rPr>
        <w:t xml:space="preserve">Key words:</w:t>
      </w:r>
    </w:p>
    <w:p>
      <w:pPr>
        <w:pStyle w:val="BodyText"/>
      </w:pPr>
      <w:r>
        <w:rPr>
          <w:b/>
          <w:bCs/>
        </w:rPr>
        <w:t xml:space="preserve">Running title:</w:t>
      </w:r>
    </w:p>
    <w:p>
      <w:r>
        <w:br w:type="page"/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/>
          <w:bCs/>
        </w:rPr>
        <w:t xml:space="preserve">Background: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/>
          <w:bCs/>
        </w:rPr>
        <w:t xml:space="preserve">Methods: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/>
          <w:bCs/>
        </w:rPr>
        <w:t xml:space="preserve">Results: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/>
          <w:bCs/>
        </w:rPr>
        <w:t xml:space="preserve">Conclusions:</w:t>
      </w:r>
      <w:r>
        <w:t xml:space="preserve"> </w:t>
      </w:r>
      <w:r>
        <w:t xml:space="preserve">A</w:t>
      </w:r>
    </w:p>
    <w:p>
      <w:r>
        <w:br w:type="page"/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Citation</w:t>
      </w:r>
      <w:r>
        <w:t xml:space="preserve"> </w:t>
      </w:r>
      <w:r>
        <w:t xml:space="preserve">[1]</w:t>
      </w:r>
      <w:r>
        <w:t xml:space="preserve">. See</w:t>
      </w:r>
      <w:r>
        <w:t xml:space="preserve"> </w:t>
      </w:r>
      <w:hyperlink w:anchor="fig-sample">
        <w:r>
          <w:rPr>
            <w:rStyle w:val="Hyperlink"/>
          </w:rPr>
          <w:t xml:space="preserve">Figure 1</w:t>
        </w:r>
      </w:hyperlink>
      <w:r>
        <w:t xml:space="preserve">,</w:t>
      </w:r>
      <w:r>
        <w:t xml:space="preserve"> </w:t>
      </w:r>
      <w:hyperlink w:anchor="table-sample">
        <w:r>
          <w:rPr>
            <w:rStyle w:val="Hyperlink"/>
          </w:rPr>
          <w:t xml:space="preserve">Table5 1</w:t>
        </w:r>
      </w:hyperlink>
      <w:r>
        <w:t xml:space="preserve">,</w:t>
      </w:r>
      <w:r>
        <w:t xml:space="preserve"> </w:t>
      </w:r>
      <w:hyperlink w:anchor="supptbl-sample">
        <w:r>
          <w:rPr>
            <w:rStyle w:val="Hyperlink"/>
          </w:rPr>
          <w:t xml:space="preserve">Table S1</w:t>
        </w:r>
      </w:hyperlink>
      <w:r>
        <w:t xml:space="preserve">, and</w:t>
      </w:r>
      <w:r>
        <w:t xml:space="preserve"> </w:t>
      </w:r>
      <w:hyperlink w:anchor="suppfig-sample">
        <w:r>
          <w:rPr>
            <w:rStyle w:val="Hyperlink"/>
          </w:rPr>
          <w:t xml:space="preserve">Figure S1</w:t>
        </w:r>
      </w:hyperlink>
      <w:r>
        <w:t xml:space="preserve">. Inline and latex equations are easy: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equals 3.1415927.</w:t>
      </w:r>
    </w:p>
    <w:p>
      <w:r>
        <w:br w:type="page"/>
      </w:r>
    </w:p>
    <w:bookmarkEnd w:id="21"/>
    <w:bookmarkStart w:id="23" w:name="methods"/>
    <w:p>
      <w:pPr>
        <w:pStyle w:val="Heading1"/>
      </w:pPr>
      <w:r>
        <w:t xml:space="preserve">Methods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Text.</w:t>
      </w:r>
    </w:p>
    <w:p>
      <w:pPr>
        <w:pStyle w:val="BodyText"/>
      </w:pPr>
    </w:p>
    <w:bookmarkEnd w:id="22"/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Text.</w:t>
      </w:r>
    </w:p>
    <w:p>
      <w:pPr>
        <w:pStyle w:val="BodyText"/>
      </w:pPr>
    </w:p>
    <w:bookmarkEnd w:id="24"/>
    <w:bookmarkStart w:id="25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Text.</w:t>
      </w:r>
    </w:p>
    <w:p>
      <w:pPr>
        <w:pStyle w:val="BodyText"/>
      </w:pPr>
    </w:p>
    <w:p>
      <w:r>
        <w:br w:type="page"/>
      </w:r>
    </w:p>
    <w:bookmarkEnd w:id="25"/>
    <w:bookmarkStart w:id="26" w:name="declarations"/>
    <w:p>
      <w:pPr>
        <w:pStyle w:val="Heading1"/>
      </w:pPr>
      <w:r>
        <w:t xml:space="preserve">Declarations</w:t>
      </w:r>
    </w:p>
    <w:p>
      <w:pPr>
        <w:pStyle w:val="FirstParagraph"/>
      </w:pPr>
      <w:r>
        <w:rPr>
          <w:b/>
          <w:bCs/>
        </w:rPr>
        <w:t xml:space="preserve">Funding:</w:t>
      </w:r>
      <w:r>
        <w:t xml:space="preserve"> </w:t>
      </w:r>
      <w:r>
        <w:t xml:space="preserve">Text.</w:t>
      </w:r>
    </w:p>
    <w:p>
      <w:pPr>
        <w:pStyle w:val="BodyText"/>
      </w:pPr>
      <w:r>
        <w:rPr>
          <w:b/>
          <w:bCs/>
        </w:rPr>
        <w:t xml:space="preserve">Acknowledgements:</w:t>
      </w:r>
      <w:r>
        <w:t xml:space="preserve"> </w:t>
      </w:r>
      <w:r>
        <w:t xml:space="preserve">The authors thank X for their guidance on the analysis.</w:t>
      </w:r>
    </w:p>
    <w:p>
      <w:pPr>
        <w:pStyle w:val="BodyText"/>
      </w:pPr>
      <w:r>
        <w:rPr>
          <w:b/>
          <w:bCs/>
        </w:rPr>
        <w:t xml:space="preserve">Conflicts:</w:t>
      </w:r>
      <w:r>
        <w:t xml:space="preserve"> </w:t>
      </w:r>
      <w:r>
        <w:t xml:space="preserve">Text.</w:t>
      </w:r>
    </w:p>
    <w:p>
      <w:pPr>
        <w:pStyle w:val="BodyText"/>
      </w:pPr>
      <w:r>
        <w:rPr>
          <w:b/>
          <w:bCs/>
        </w:rPr>
        <w:t xml:space="preserve">Ethics/Consent:</w:t>
      </w:r>
      <w:r>
        <w:t xml:space="preserve"> </w:t>
      </w:r>
      <w:r>
        <w:t xml:space="preserve">Text.</w:t>
      </w:r>
    </w:p>
    <w:p>
      <w:pPr>
        <w:pStyle w:val="BodyText"/>
      </w:pPr>
      <w:r>
        <w:rPr>
          <w:b/>
          <w:bCs/>
        </w:rPr>
        <w:t xml:space="preserve">Data and materials:</w:t>
      </w:r>
      <w:r>
        <w:t xml:space="preserve"> </w:t>
      </w:r>
      <w:r>
        <w:t xml:space="preserve">Data use agreements do not allow sharing of individual-level data. All other data will be made publically available.</w:t>
      </w:r>
    </w:p>
    <w:p>
      <w:pPr>
        <w:pStyle w:val="BodyText"/>
      </w:pPr>
      <w:r>
        <w:rPr>
          <w:b/>
          <w:bCs/>
        </w:rPr>
        <w:t xml:space="preserve">Code availability:</w:t>
      </w:r>
      <w:r>
        <w:t xml:space="preserve"> </w:t>
      </w:r>
      <w:r>
        <w:t xml:space="preserve">All analytical code will be posted in a public repository upon publication.</w:t>
      </w:r>
    </w:p>
    <w:p>
      <w:pPr>
        <w:pStyle w:val="BodyText"/>
      </w:pPr>
      <w:r>
        <w:rPr>
          <w:b/>
          <w:bCs/>
        </w:rPr>
        <w:t xml:space="preserve">Authors’ contributions:</w:t>
      </w:r>
      <w:r>
        <w:t xml:space="preserve"> </w:t>
      </w:r>
      <w:r>
        <w:t xml:space="preserve">Text.</w:t>
      </w:r>
    </w:p>
    <w:p>
      <w:r>
        <w:br w:type="page"/>
      </w:r>
    </w:p>
    <w:bookmarkEnd w:id="26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ref-Langham2018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Langham S, Wright A, Kenworthy J, Grieve R, Dunlop WCN.</w:t>
      </w:r>
      <w:r>
        <w:t xml:space="preserve"> </w:t>
      </w:r>
      <w:r>
        <w:t xml:space="preserve">Cost-effectiveness of take-home naloxone for the prevention of overdose fatalities among heroin users in the United Kingdom</w:t>
      </w:r>
      <w:r>
        <w:t xml:space="preserve">.</w:t>
      </w:r>
      <w:r>
        <w:t xml:space="preserve"> </w:t>
      </w:r>
      <w:r>
        <w:rPr>
          <w:i/>
          <w:iCs/>
        </w:rPr>
        <w:t xml:space="preserve">Value in Health</w:t>
      </w:r>
      <w:r>
        <w:t xml:space="preserve">. 2018;21(4):407-415. doi:</w:t>
      </w:r>
      <w:hyperlink r:id="rId27">
        <w:r>
          <w:rPr>
            <w:rStyle w:val="Hyperlink"/>
          </w:rPr>
          <w:t xml:space="preserve">10.1016/j.jval.2017.07.014</w:t>
        </w:r>
      </w:hyperlink>
    </w:p>
    <w:bookmarkEnd w:id="28"/>
    <w:bookmarkEnd w:id="29"/>
    <w:p>
      <w:r>
        <w:br w:type="page"/>
      </w:r>
    </w:p>
    <w:bookmarkEnd w:id="30"/>
    <w:bookmarkStart w:id="32" w:name="tables"/>
    <w:p>
      <w:pPr>
        <w:pStyle w:val="Heading1"/>
      </w:pPr>
      <w:r>
        <w:t xml:space="preserve">Tables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table-sample"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448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EAEAEA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true"/>
                      <w:u w:val="none"/>
                      <w:sz w:val="20"/>
                      <w:szCs w:val="20"/>
                      <w:color w:val="000000"/>
                    </w:rPr>
                    <w:t xml:space="preserve">col1</w:t>
                  </w:r>
                </w:p>
              </w:tc>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EAEAEA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true"/>
                      <w:u w:val="none"/>
                      <w:sz w:val="20"/>
                      <w:szCs w:val="20"/>
                      <w:color w:val="000000"/>
                    </w:rPr>
                    <w:t xml:space="preserve">col2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gridSpan w:val="2"/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DDDDDD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true"/>
                      <w:u w:val="none"/>
                      <w:sz w:val="20"/>
                      <w:szCs w:val="20"/>
                      <w:color w:val="000000"/>
                    </w:rPr>
                    <w:t xml:space="preserve">A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gridSpan w:val="2"/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DDDDDD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true"/>
                      <w:u w:val="none"/>
                      <w:sz w:val="20"/>
                      <w:szCs w:val="20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body6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No</w:t>
                  </w:r>
                </w:p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Table5 1: Table caption here.</w:t>
            </w:r>
          </w:p>
          <w:bookmarkEnd w:id="31"/>
        </w:tc>
      </w:tr>
    </w:tbl>
    <w:p>
      <w:r>
        <w:br w:type="page"/>
      </w:r>
    </w:p>
    <w:bookmarkEnd w:id="32"/>
    <w:bookmarkStart w:id="37" w:name="figures"/>
    <w:p>
      <w:pPr>
        <w:pStyle w:val="Heading1"/>
      </w:pPr>
      <w:r>
        <w:t xml:space="preserve">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sample"/>
          <w:p>
            <w:pPr>
              <w:pStyle w:val="Compact"/>
              <w:jc w:val="center"/>
            </w:pPr>
            <w:r>
              <w:drawing>
                <wp:inline>
                  <wp:extent cx="4587290" cy="917458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../4_output/figs/figur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917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Figure caption here.</w:t>
            </w:r>
          </w:p>
          <w:bookmarkEnd w:id="36"/>
        </w:tc>
      </w:tr>
    </w:tbl>
    <w:p>
      <w:r>
        <w:br w:type="page"/>
      </w:r>
    </w:p>
    <w:bookmarkEnd w:id="37"/>
    <w:bookmarkStart w:id="38" w:name="supplemental-materials"/>
    <w:p>
      <w:pPr>
        <w:pStyle w:val="Heading1"/>
      </w:pPr>
      <w:r>
        <w:t xml:space="preserve">Supplemental materials</w:t>
      </w:r>
    </w:p>
    <w:p>
      <w:pPr>
        <w:pStyle w:val="no_indent"/>
      </w:pPr>
      <w:r>
        <w:rPr>
          <w:b/>
          <w:bCs/>
        </w:rPr>
        <w:t xml:space="preserve">Repeat manuscript title here</w:t>
      </w:r>
    </w:p>
    <w:p>
      <w:pPr>
        <w:pStyle w:val="no_indent"/>
      </w:pPr>
    </w:p>
    <w:p>
      <w:pPr>
        <w:pStyle w:val="no_indent"/>
      </w:pPr>
      <w:r>
        <w:t xml:space="preserve">W. Alton Russell, others</w:t>
      </w:r>
    </w:p>
    <w:p>
      <w:pPr>
        <w:pStyle w:val="BodyText"/>
      </w:pPr>
    </w:p>
    <w:p>
      <w:pPr>
        <w:pStyle w:val="BodyText"/>
      </w:pPr>
      <w:r>
        <w:t xml:space="preserve">[Repeat author list here]</w:t>
      </w:r>
    </w:p>
    <w:p>
      <w:r>
        <w:br w:type="page"/>
      </w:r>
    </w:p>
    <w:bookmarkEnd w:id="38"/>
    <w:bookmarkStart w:id="41" w:name="supplemental-methods"/>
    <w:p>
      <w:pPr>
        <w:pStyle w:val="Heading1"/>
      </w:pPr>
      <w:r>
        <w:t xml:space="preserve">Supplemental methods</w:t>
      </w:r>
    </w:p>
    <w:bookmarkStart w:id="39" w:name="data-preprocessing"/>
    <w:p>
      <w:pPr>
        <w:pStyle w:val="Heading2"/>
      </w:pPr>
      <w:r>
        <w:t xml:space="preserve">Data preprocessing</w:t>
      </w:r>
    </w:p>
    <w:p>
      <w:pPr>
        <w:pStyle w:val="FirstParagraph"/>
      </w:pPr>
      <w:r>
        <w:t xml:space="preserve">Text.</w:t>
      </w:r>
    </w:p>
    <w:bookmarkEnd w:id="39"/>
    <w:bookmarkStart w:id="40" w:name="algorithm-development"/>
    <w:p>
      <w:pPr>
        <w:pStyle w:val="Heading2"/>
      </w:pPr>
      <w:r>
        <w:t xml:space="preserve">Algorithm development</w:t>
      </w:r>
    </w:p>
    <w:p>
      <w:pPr>
        <w:pStyle w:val="FirstParagraph"/>
      </w:pPr>
      <w:r>
        <w:t xml:space="preserve">Text.</w:t>
      </w:r>
    </w:p>
    <w:p>
      <w:r>
        <w:br w:type="page"/>
      </w:r>
    </w:p>
    <w:bookmarkEnd w:id="40"/>
    <w:bookmarkEnd w:id="41"/>
    <w:bookmarkStart w:id="43" w:name="supplemental-tables"/>
    <w:p>
      <w:pPr>
        <w:pStyle w:val="Heading1"/>
      </w:pPr>
      <w:r>
        <w:t xml:space="preserve">Supplemental tables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supptbl-sample"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448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EAEAEA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true"/>
                      <w:u w:val="none"/>
                      <w:sz w:val="20"/>
                      <w:szCs w:val="20"/>
                      <w:color w:val="000000"/>
                    </w:rPr>
                    <w:t xml:space="preserve">col1</w:t>
                  </w:r>
                </w:p>
              </w:tc>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EAEAEA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true"/>
                      <w:u w:val="none"/>
                      <w:sz w:val="20"/>
                      <w:szCs w:val="20"/>
                      <w:color w:val="000000"/>
                    </w:rPr>
                    <w:t xml:space="preserve">col2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gridSpan w:val="2"/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DDDDDD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true"/>
                      <w:u w:val="none"/>
                      <w:sz w:val="20"/>
                      <w:szCs w:val="20"/>
                      <w:color w:val="000000"/>
                    </w:rPr>
                    <w:t xml:space="preserve">A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gridSpan w:val="2"/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DDDDDD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true"/>
                      <w:u w:val="none"/>
                      <w:sz w:val="20"/>
                      <w:szCs w:val="20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body6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6" w:space="0" w:color="666666"/>
                    <w:top w:val="single" w:sz="6" w:space="0" w:color="666666"/>
                    <w:left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" w:hAnsi="Times" w:eastAsia="Times" w:cs="Times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No</w:t>
                  </w:r>
                </w:p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S1: Table caption here.</w:t>
            </w:r>
          </w:p>
          <w:bookmarkEnd w:id="42"/>
        </w:tc>
      </w:tr>
    </w:tbl>
    <w:p>
      <w:r>
        <w:br w:type="page"/>
      </w:r>
    </w:p>
    <w:bookmarkEnd w:id="43"/>
    <w:bookmarkStart w:id="47" w:name="supplemental-figures"/>
    <w:p>
      <w:pPr>
        <w:pStyle w:val="Heading1"/>
      </w:pPr>
      <w:r>
        <w:t xml:space="preserve">Supplemental 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suppfig-sample"/>
          <w:p>
            <w:pPr>
              <w:jc w:val="center"/>
            </w:pPr>
            <w:r>
              <w:drawing>
                <wp:inline>
                  <wp:extent cx="4587290" cy="917458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../4_output/figs/figur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917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S1: Figure caption here.</w:t>
            </w:r>
          </w:p>
          <w:bookmarkEnd w:id="46"/>
        </w:tc>
      </w:tr>
    </w:tbl>
    <w:bookmarkEnd w:id="47"/>
    <w:sectPr w:rsidR="00506710" w:rsidRPr="00506710" w:rsidSect="00A42BFA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76ED64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660A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24E1F3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BB083A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394A76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CC26A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7B2005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C742A0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F63F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CE82E7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4267C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1AE401"/>
    <w:multiLevelType w:val="multilevel"/>
    <w:tmpl w:val="12406B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118212209" w:numId="1">
    <w:abstractNumId w:val="10"/>
  </w:num>
  <w:num w16cid:durableId="998389692" w:numId="2">
    <w:abstractNumId w:val="10"/>
  </w:num>
  <w:num w16cid:durableId="439180562" w:numId="3">
    <w:abstractNumId w:val="9"/>
  </w:num>
  <w:num w16cid:durableId="1653675525" w:numId="4">
    <w:abstractNumId w:val="7"/>
  </w:num>
  <w:num w16cid:durableId="1868980495" w:numId="5">
    <w:abstractNumId w:val="6"/>
  </w:num>
  <w:num w16cid:durableId="949320869" w:numId="6">
    <w:abstractNumId w:val="5"/>
  </w:num>
  <w:num w16cid:durableId="567542100" w:numId="7">
    <w:abstractNumId w:val="4"/>
  </w:num>
  <w:num w16cid:durableId="2093117603" w:numId="8">
    <w:abstractNumId w:val="8"/>
  </w:num>
  <w:num w16cid:durableId="1766725606" w:numId="9">
    <w:abstractNumId w:val="3"/>
  </w:num>
  <w:num w16cid:durableId="1836721295" w:numId="10">
    <w:abstractNumId w:val="2"/>
  </w:num>
  <w:num w16cid:durableId="957374429" w:numId="11">
    <w:abstractNumId w:val="1"/>
  </w:num>
  <w:num w16cid:durableId="1315111753" w:numId="12">
    <w:abstractNumId w:val="0"/>
  </w:num>
  <w:num w16cid:durableId="358045098" w:numId="13">
    <w:abstractNumId w:val="13"/>
  </w:num>
  <w:num w16cid:durableId="2065591830" w:numId="14">
    <w:abstractNumId w:val="11"/>
  </w:num>
  <w:num w16cid:durableId="1816333358" w:numId="15">
    <w:abstractNumId w:val="0"/>
  </w:num>
  <w:num w16cid:durableId="1689911979" w:numId="16">
    <w:abstractNumId w:val="1"/>
  </w:num>
  <w:num w16cid:durableId="1450009536" w:numId="17">
    <w:abstractNumId w:val="2"/>
  </w:num>
  <w:num w16cid:durableId="62608426" w:numId="18">
    <w:abstractNumId w:val="3"/>
  </w:num>
  <w:num w16cid:durableId="1604651232" w:numId="19">
    <w:abstractNumId w:val="8"/>
  </w:num>
  <w:num w16cid:durableId="1610769812" w:numId="20">
    <w:abstractNumId w:val="4"/>
  </w:num>
  <w:num w16cid:durableId="1917740920" w:numId="21">
    <w:abstractNumId w:val="5"/>
  </w:num>
  <w:num w16cid:durableId="1850560295" w:numId="22">
    <w:abstractNumId w:val="6"/>
  </w:num>
  <w:num w16cid:durableId="373504526" w:numId="23">
    <w:abstractNumId w:val="7"/>
  </w:num>
  <w:num w16cid:durableId="307517742" w:numId="24">
    <w:abstractNumId w:val="9"/>
  </w:num>
  <w:num w16cid:durableId="2109815658" w:numId="25">
    <w:abstractNumId w:val="0"/>
  </w:num>
  <w:num w16cid:durableId="1222863152" w:numId="26">
    <w:abstractNumId w:val="1"/>
  </w:num>
  <w:num w16cid:durableId="1828477482" w:numId="27">
    <w:abstractNumId w:val="2"/>
  </w:num>
  <w:num w16cid:durableId="1215119757" w:numId="28">
    <w:abstractNumId w:val="3"/>
  </w:num>
  <w:num w16cid:durableId="1940983189" w:numId="29">
    <w:abstractNumId w:val="8"/>
  </w:num>
  <w:num w16cid:durableId="85080593" w:numId="30">
    <w:abstractNumId w:val="4"/>
  </w:num>
  <w:num w16cid:durableId="143158434" w:numId="31">
    <w:abstractNumId w:val="5"/>
  </w:num>
  <w:num w16cid:durableId="2026050233" w:numId="32">
    <w:abstractNumId w:val="6"/>
  </w:num>
  <w:num w16cid:durableId="638190012" w:numId="33">
    <w:abstractNumId w:val="7"/>
  </w:num>
  <w:num w16cid:durableId="2055305312" w:numId="34">
    <w:abstractNumId w:val="9"/>
  </w:num>
  <w:num w16cid:durableId="944458106" w:numId="35">
    <w:abstractNumId w:val="0"/>
  </w:num>
  <w:num w16cid:durableId="283467524" w:numId="36">
    <w:abstractNumId w:val="1"/>
  </w:num>
  <w:num w16cid:durableId="328018944" w:numId="37">
    <w:abstractNumId w:val="2"/>
  </w:num>
  <w:num w16cid:durableId="1681815030" w:numId="38">
    <w:abstractNumId w:val="3"/>
  </w:num>
  <w:num w16cid:durableId="898636941" w:numId="39">
    <w:abstractNumId w:val="8"/>
  </w:num>
  <w:num w16cid:durableId="930624238" w:numId="40">
    <w:abstractNumId w:val="4"/>
  </w:num>
  <w:num w16cid:durableId="1414550695" w:numId="41">
    <w:abstractNumId w:val="5"/>
  </w:num>
  <w:num w16cid:durableId="2138061571" w:numId="42">
    <w:abstractNumId w:val="6"/>
  </w:num>
  <w:num w16cid:durableId="294069404" w:numId="43">
    <w:abstractNumId w:val="7"/>
  </w:num>
  <w:num w16cid:durableId="503012756" w:numId="44">
    <w:abstractNumId w:val="9"/>
  </w:num>
  <w:num w16cid:durableId="1727484959" w:numId="45">
    <w:abstractNumId w:val="0"/>
  </w:num>
  <w:num w16cid:durableId="949046911" w:numId="46">
    <w:abstractNumId w:val="1"/>
  </w:num>
  <w:num w16cid:durableId="1980374653" w:numId="47">
    <w:abstractNumId w:val="2"/>
  </w:num>
  <w:num w16cid:durableId="1445539245" w:numId="48">
    <w:abstractNumId w:val="3"/>
  </w:num>
  <w:num w16cid:durableId="1604991112" w:numId="49">
    <w:abstractNumId w:val="8"/>
  </w:num>
  <w:num w16cid:durableId="1156647071" w:numId="50">
    <w:abstractNumId w:val="4"/>
  </w:num>
  <w:num w16cid:durableId="530920288" w:numId="51">
    <w:abstractNumId w:val="5"/>
  </w:num>
  <w:num w16cid:durableId="1220937960" w:numId="52">
    <w:abstractNumId w:val="6"/>
  </w:num>
  <w:num w16cid:durableId="315185155" w:numId="53">
    <w:abstractNumId w:val="7"/>
  </w:num>
  <w:num w16cid:durableId="1938516098" w:numId="5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D5F"/>
    <w:rsid w:val="00075E0A"/>
    <w:rsid w:val="00080355"/>
    <w:rsid w:val="000D4DC6"/>
    <w:rsid w:val="000E17D1"/>
    <w:rsid w:val="00160C94"/>
    <w:rsid w:val="00163D79"/>
    <w:rsid w:val="00175FF5"/>
    <w:rsid w:val="00180E6F"/>
    <w:rsid w:val="001D6EB1"/>
    <w:rsid w:val="001E6985"/>
    <w:rsid w:val="001F14A2"/>
    <w:rsid w:val="00204C57"/>
    <w:rsid w:val="0022414C"/>
    <w:rsid w:val="00233F0F"/>
    <w:rsid w:val="00247DA2"/>
    <w:rsid w:val="00295DDA"/>
    <w:rsid w:val="0038770E"/>
    <w:rsid w:val="003B2F2D"/>
    <w:rsid w:val="003B58E0"/>
    <w:rsid w:val="0042397A"/>
    <w:rsid w:val="00447B99"/>
    <w:rsid w:val="004544E3"/>
    <w:rsid w:val="004665B0"/>
    <w:rsid w:val="00484CFB"/>
    <w:rsid w:val="004E29B3"/>
    <w:rsid w:val="004E3C79"/>
    <w:rsid w:val="004F67C7"/>
    <w:rsid w:val="00506710"/>
    <w:rsid w:val="00585F09"/>
    <w:rsid w:val="00590D07"/>
    <w:rsid w:val="005C1198"/>
    <w:rsid w:val="006011FE"/>
    <w:rsid w:val="00613DF8"/>
    <w:rsid w:val="00622F8D"/>
    <w:rsid w:val="00627127"/>
    <w:rsid w:val="00632048"/>
    <w:rsid w:val="00656AD3"/>
    <w:rsid w:val="006B0605"/>
    <w:rsid w:val="006C338E"/>
    <w:rsid w:val="006F4E78"/>
    <w:rsid w:val="006F5091"/>
    <w:rsid w:val="00711C2B"/>
    <w:rsid w:val="0071749B"/>
    <w:rsid w:val="00721D7E"/>
    <w:rsid w:val="0073632D"/>
    <w:rsid w:val="00776866"/>
    <w:rsid w:val="00784D58"/>
    <w:rsid w:val="007B5630"/>
    <w:rsid w:val="007D0088"/>
    <w:rsid w:val="007F587B"/>
    <w:rsid w:val="00846B2C"/>
    <w:rsid w:val="008866F3"/>
    <w:rsid w:val="008967DE"/>
    <w:rsid w:val="008A7CDE"/>
    <w:rsid w:val="008C1E9D"/>
    <w:rsid w:val="008D6863"/>
    <w:rsid w:val="008F5715"/>
    <w:rsid w:val="009B2AC0"/>
    <w:rsid w:val="00A12D91"/>
    <w:rsid w:val="00A41548"/>
    <w:rsid w:val="00A42BFA"/>
    <w:rsid w:val="00A50344"/>
    <w:rsid w:val="00A66782"/>
    <w:rsid w:val="00A66956"/>
    <w:rsid w:val="00A86B6B"/>
    <w:rsid w:val="00AD30A6"/>
    <w:rsid w:val="00B16EFF"/>
    <w:rsid w:val="00B37712"/>
    <w:rsid w:val="00B86B75"/>
    <w:rsid w:val="00BB51B5"/>
    <w:rsid w:val="00BC48D5"/>
    <w:rsid w:val="00BE0790"/>
    <w:rsid w:val="00C2726E"/>
    <w:rsid w:val="00C36279"/>
    <w:rsid w:val="00C3664A"/>
    <w:rsid w:val="00C53802"/>
    <w:rsid w:val="00CE750A"/>
    <w:rsid w:val="00D06C10"/>
    <w:rsid w:val="00D80845"/>
    <w:rsid w:val="00DB2A8E"/>
    <w:rsid w:val="00DD2FC5"/>
    <w:rsid w:val="00E04BB4"/>
    <w:rsid w:val="00E315A3"/>
    <w:rsid w:val="00E50943"/>
    <w:rsid w:val="00EB3470"/>
    <w:rsid w:val="00EB3A58"/>
    <w:rsid w:val="00EB5C6A"/>
    <w:rsid w:val="00EE6137"/>
    <w:rsid w:val="00F2784D"/>
    <w:rsid w:val="00F5708A"/>
    <w:rsid w:val="00F72109"/>
    <w:rsid w:val="00F734CF"/>
    <w:rsid w:val="00FA29B1"/>
    <w:rsid w:val="00FA5629"/>
    <w:rsid w:val="00FC3BE1"/>
    <w:rsid w:val="00FD4880"/>
    <w:rsid w:val="00FE2C2D"/>
    <w:rsid w:val="00FE613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1E9D"/>
    <w:pPr>
      <w:spacing w:line="36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rsid w:val="00776866"/>
    <w:pPr>
      <w:keepNext/>
      <w:keepLines/>
      <w:spacing w:after="0" w:before="200"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unhideWhenUsed/>
    <w:qFormat/>
    <w:rsid w:val="008967DE"/>
    <w:pPr>
      <w:keepNext/>
      <w:keepLines/>
      <w:spacing w:after="120" w:before="200"/>
      <w:outlineLvl w:val="6"/>
    </w:pPr>
    <w:rPr>
      <w:rFonts w:cstheme="majorBidi" w:eastAsiaTheme="majorEastAsia"/>
      <w:b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FD4880"/>
    <w:pPr>
      <w:keepNext/>
      <w:keepLines/>
      <w:spacing w:after="0" w:before="200" w:line="480" w:lineRule="auto"/>
      <w:jc w:val="center"/>
      <w:outlineLvl w:val="7"/>
    </w:pPr>
    <w:rPr>
      <w:rFonts w:cstheme="majorBidi" w:eastAsiaTheme="majorEastAsia"/>
      <w:b/>
      <w:smallCaps/>
      <w:sz w:val="28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customStyle="1" w:styleId="FirstParagraph" w:type="paragraph">
    <w:name w:val="First Paragraph"/>
    <w:basedOn w:val="BodyText"/>
    <w:next w:val="BodyText"/>
    <w:qFormat/>
    <w:rsid w:val="00A66956"/>
  </w:style>
  <w:style w:customStyle="1" w:styleId="Compact" w:type="paragraph">
    <w:name w:val="Compact"/>
    <w:basedOn w:val="BodyText"/>
    <w:qFormat/>
    <w:rsid w:val="00627127"/>
    <w:pPr>
      <w:spacing w:after="240" w:line="240" w:lineRule="auto"/>
    </w:pPr>
  </w:style>
  <w:style w:styleId="Title" w:type="paragraph">
    <w:name w:val="Title"/>
    <w:basedOn w:val="Normal"/>
    <w:next w:val="BodyText"/>
    <w:qFormat/>
    <w:rsid w:val="00CE750A"/>
    <w:pPr>
      <w:keepNext/>
      <w:keepLines/>
      <w:spacing w:after="240" w:before="480" w:line="480" w:lineRule="auto"/>
      <w:jc w:val="center"/>
    </w:pPr>
    <w:rPr>
      <w:rFonts w:cstheme="majorBidi" w:eastAsiaTheme="majorEastAsia"/>
      <w:b/>
      <w:bCs/>
      <w:smallCaps/>
      <w:sz w:val="2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34CF"/>
    <w:pPr>
      <w:spacing w:after="80"/>
      <w:ind w:hanging="360" w:left="360"/>
    </w:pPr>
  </w:style>
  <w:style w:styleId="BlockText" w:type="paragraph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EB5C6A"/>
    <w:pPr>
      <w:spacing w:after="120"/>
    </w:p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B3A58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EB5C6A"/>
    <w:rPr>
      <w:rFonts w:ascii="Times New Roman" w:hAnsi="Times New Roman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rFonts w:ascii="Times New Roman" w:hAnsi="Times New Roman"/>
      <w:vertAlign w:val="superscript"/>
    </w:rPr>
  </w:style>
  <w:style w:styleId="Hyperlink" w:type="character">
    <w:name w:val="Hyperlink"/>
    <w:basedOn w:val="CaptionChar"/>
    <w:rPr>
      <w:rFonts w:ascii="Times New Roman" w:hAnsi="Times New Roma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F5091"/>
    <w:rPr>
      <w:sz w:val="22"/>
    </w:rPr>
  </w:style>
  <w:style w:styleId="Header" w:type="paragraph">
    <w:name w:val="header"/>
    <w:basedOn w:val="Normal"/>
    <w:link w:val="HeaderChar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B2F2D"/>
  </w:style>
  <w:style w:styleId="Footer" w:type="paragraph">
    <w:name w:val="footer"/>
    <w:basedOn w:val="Normal"/>
    <w:link w:val="FooterChar"/>
    <w:uiPriority w:val="99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B2F2D"/>
  </w:style>
  <w:style w:styleId="BalloonText" w:type="paragraph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846B2C"/>
    <w:rPr>
      <w:rFonts w:ascii="Segoe UI" w:cs="Segoe UI" w:hAnsi="Segoe UI"/>
      <w:sz w:val="18"/>
      <w:szCs w:val="18"/>
    </w:rPr>
  </w:style>
  <w:style w:customStyle="1" w:styleId="hiddenline" w:type="paragraph">
    <w:name w:val="hidden_line"/>
    <w:basedOn w:val="Heading2"/>
    <w:qFormat/>
    <w:rsid w:val="00AD30A6"/>
    <w:pPr>
      <w:spacing w:line="240" w:lineRule="auto"/>
    </w:pPr>
    <w:rPr>
      <w:color w:themeColor="background1" w:val="FFFFFF"/>
      <w:sz w:val="2"/>
    </w:rPr>
  </w:style>
  <w:style w:styleId="PlaceholderText" w:type="character">
    <w:name w:val="Placeholder Text"/>
    <w:basedOn w:val="DefaultParagraphFont"/>
    <w:semiHidden/>
    <w:rsid w:val="00506710"/>
    <w:rPr>
      <w:color w:val="808080"/>
    </w:rPr>
  </w:style>
  <w:style w:type="paragraph" w:customStyle="1" w:styleId="no_indent">
    <w:name w:val="no_indent"/>
    <w:basedOn w:val="Body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33" Target="media/rId33.png" /><Relationship Type="http://schemas.openxmlformats.org/officeDocument/2006/relationships/hyperlink" Id="rId27" Target="https://doi.org/10.1016/j.jval.2017.07.0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16/j.jval.2017.07.0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in hemoglobin as a novel marker for incident iron deficiency in blood donors</dc:title>
  <dc:creator/>
  <cp:keywords/>
  <dcterms:created xsi:type="dcterms:W3CDTF">2024-06-24T17:54:13Z</dcterms:created>
  <dcterms:modified xsi:type="dcterms:W3CDTF">2024-06-24T17:54:13Z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bib.bib</vt:lpwstr>
  </property>
  <property fmtid="{D5CDD505-2E9C-101B-9397-08002B2CF9AE}" pid="4" name="crossref">
    <vt:lpwstr/>
  </property>
  <property fmtid="{D5CDD505-2E9C-101B-9397-08002B2CF9AE}" pid="5" name="csl">
    <vt:lpwstr>american-medical-association-brackets.csl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