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43E9B" w14:textId="0E0FADE0" w:rsidR="002D32D8" w:rsidRPr="002D32D8" w:rsidRDefault="002D32D8" w:rsidP="002D32D8">
      <w:pPr>
        <w:spacing w:after="0"/>
        <w:rPr>
          <w:b/>
          <w:bCs/>
        </w:rPr>
      </w:pPr>
      <w:r w:rsidRPr="002D32D8">
        <w:rPr>
          <w:b/>
          <w:bCs/>
          <w:highlight w:val="yellow"/>
        </w:rPr>
        <w:t>Summary</w:t>
      </w:r>
    </w:p>
    <w:p w14:paraId="70167DEB" w14:textId="2A73B69B" w:rsidR="002D32D8" w:rsidRPr="00E84E04" w:rsidRDefault="002D32D8" w:rsidP="002D32D8">
      <w:pPr>
        <w:pStyle w:val="Compact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15.1% </w:t>
      </w:r>
      <w:r>
        <w:rPr>
          <w:bCs/>
        </w:rPr>
        <w:t>of units are bacterially contaminated.</w:t>
      </w:r>
    </w:p>
    <w:p w14:paraId="3431312D" w14:textId="023DDC4E" w:rsidR="00E84E04" w:rsidRPr="002D32D8" w:rsidRDefault="00E84E04" w:rsidP="002D32D8">
      <w:pPr>
        <w:pStyle w:val="Compact"/>
        <w:numPr>
          <w:ilvl w:val="0"/>
          <w:numId w:val="1"/>
        </w:numPr>
        <w:spacing w:after="0"/>
        <w:rPr>
          <w:b/>
        </w:rPr>
      </w:pPr>
      <w:r>
        <w:rPr>
          <w:b/>
        </w:rPr>
        <w:t>41.7%</w:t>
      </w:r>
      <w:r>
        <w:rPr>
          <w:bCs/>
        </w:rPr>
        <w:t xml:space="preserve"> of contaminated units lead to clinical </w:t>
      </w:r>
      <w:proofErr w:type="gramStart"/>
      <w:r>
        <w:rPr>
          <w:bCs/>
        </w:rPr>
        <w:t>sepsis</w:t>
      </w:r>
      <w:proofErr w:type="gramEnd"/>
    </w:p>
    <w:p w14:paraId="6B676A7E" w14:textId="49F95146" w:rsidR="002D32D8" w:rsidRPr="002D32D8" w:rsidRDefault="002D32D8" w:rsidP="002D32D8">
      <w:pPr>
        <w:pStyle w:val="Compact"/>
        <w:numPr>
          <w:ilvl w:val="0"/>
          <w:numId w:val="1"/>
        </w:numPr>
        <w:spacing w:after="0"/>
        <w:rPr>
          <w:b/>
        </w:rPr>
      </w:pPr>
      <w:r>
        <w:rPr>
          <w:b/>
        </w:rPr>
        <w:t>6.2%</w:t>
      </w:r>
      <w:r>
        <w:rPr>
          <w:bCs/>
        </w:rPr>
        <w:t xml:space="preserve"> of recipients experience TT-sepsis (</w:t>
      </w:r>
      <w:r w:rsidRPr="002D32D8">
        <w:rPr>
          <w:bCs/>
        </w:rPr>
        <w:t>15</w:t>
      </w:r>
      <w:r>
        <w:rPr>
          <w:bCs/>
        </w:rPr>
        <w:t>.1</w:t>
      </w:r>
      <w:r w:rsidRPr="002D32D8">
        <w:rPr>
          <w:bCs/>
        </w:rPr>
        <w:t>%*4</w:t>
      </w:r>
      <w:r>
        <w:rPr>
          <w:bCs/>
        </w:rPr>
        <w:t>1.7</w:t>
      </w:r>
      <w:r w:rsidRPr="002D32D8">
        <w:rPr>
          <w:bCs/>
        </w:rPr>
        <w:t>%</w:t>
      </w:r>
      <w:r w:rsidRPr="002D32D8">
        <w:rPr>
          <w:bCs/>
        </w:rPr>
        <w:t>)</w:t>
      </w:r>
    </w:p>
    <w:p w14:paraId="01E2E091" w14:textId="4650B423" w:rsidR="002D32D8" w:rsidRPr="002D32D8" w:rsidRDefault="002D32D8" w:rsidP="002D32D8">
      <w:pPr>
        <w:pStyle w:val="Compact"/>
        <w:numPr>
          <w:ilvl w:val="0"/>
          <w:numId w:val="1"/>
        </w:numPr>
        <w:spacing w:after="0"/>
        <w:rPr>
          <w:b/>
        </w:rPr>
      </w:pPr>
      <w:r>
        <w:rPr>
          <w:bCs/>
        </w:rPr>
        <w:t>Of the 6.2% of recipients who experience TT-sepsis:</w:t>
      </w:r>
    </w:p>
    <w:p w14:paraId="73206D78" w14:textId="678C8F86" w:rsidR="002D32D8" w:rsidRPr="002D32D8" w:rsidRDefault="002D32D8" w:rsidP="002D32D8">
      <w:pPr>
        <w:pStyle w:val="Compact"/>
        <w:numPr>
          <w:ilvl w:val="1"/>
          <w:numId w:val="1"/>
        </w:numPr>
        <w:spacing w:after="0"/>
        <w:rPr>
          <w:b/>
        </w:rPr>
      </w:pPr>
      <w:r w:rsidRPr="002D32D8">
        <w:rPr>
          <w:b/>
        </w:rPr>
        <w:t>100%</w:t>
      </w:r>
      <w:r w:rsidRPr="002D32D8">
        <w:rPr>
          <w:bCs/>
        </w:rPr>
        <w:t xml:space="preserve"> experience longer hospitalization</w:t>
      </w:r>
      <w:r>
        <w:rPr>
          <w:bCs/>
        </w:rPr>
        <w:t xml:space="preserve">, average duration </w:t>
      </w:r>
      <w:r w:rsidRPr="002D32D8">
        <w:rPr>
          <w:b/>
        </w:rPr>
        <w:t>6</w:t>
      </w:r>
      <w:r>
        <w:rPr>
          <w:bCs/>
        </w:rPr>
        <w:t xml:space="preserve"> days</w:t>
      </w:r>
    </w:p>
    <w:p w14:paraId="166AEEDC" w14:textId="735F92FB" w:rsidR="002D32D8" w:rsidRPr="002D32D8" w:rsidRDefault="002D32D8" w:rsidP="002D32D8">
      <w:pPr>
        <w:pStyle w:val="Compact"/>
        <w:numPr>
          <w:ilvl w:val="1"/>
          <w:numId w:val="1"/>
        </w:numPr>
        <w:spacing w:after="0"/>
        <w:rPr>
          <w:b/>
        </w:rPr>
      </w:pPr>
      <w:r w:rsidRPr="002D32D8">
        <w:rPr>
          <w:b/>
        </w:rPr>
        <w:t>90%</w:t>
      </w:r>
      <w:r>
        <w:rPr>
          <w:bCs/>
        </w:rPr>
        <w:t xml:space="preserve"> receive </w:t>
      </w:r>
      <w:r w:rsidR="00BE1B15">
        <w:rPr>
          <w:bCs/>
        </w:rPr>
        <w:t xml:space="preserve">additional </w:t>
      </w:r>
      <w:r>
        <w:rPr>
          <w:bCs/>
        </w:rPr>
        <w:t xml:space="preserve">medication, with an average cost of </w:t>
      </w:r>
      <w:proofErr w:type="gramStart"/>
      <w:r w:rsidRPr="002D32D8">
        <w:rPr>
          <w:b/>
        </w:rPr>
        <w:t>$372</w:t>
      </w:r>
      <w:proofErr w:type="gramEnd"/>
    </w:p>
    <w:p w14:paraId="785C9E18" w14:textId="04A26B13" w:rsidR="002D32D8" w:rsidRDefault="002D32D8" w:rsidP="002D32D8">
      <w:pPr>
        <w:pStyle w:val="Compact"/>
        <w:numPr>
          <w:ilvl w:val="1"/>
          <w:numId w:val="1"/>
        </w:numPr>
        <w:spacing w:after="0"/>
        <w:rPr>
          <w:bCs/>
        </w:rPr>
      </w:pPr>
      <w:r w:rsidRPr="002D32D8">
        <w:rPr>
          <w:b/>
        </w:rPr>
        <w:t>15%</w:t>
      </w:r>
      <w:r w:rsidRPr="002D32D8">
        <w:rPr>
          <w:bCs/>
        </w:rPr>
        <w:t xml:space="preserve"> have post-hospitalization sequelae, average duration </w:t>
      </w:r>
      <w:r w:rsidRPr="002D32D8">
        <w:rPr>
          <w:b/>
        </w:rPr>
        <w:t>20</w:t>
      </w:r>
      <w:r w:rsidRPr="002D32D8">
        <w:rPr>
          <w:bCs/>
        </w:rPr>
        <w:t xml:space="preserve"> days</w:t>
      </w:r>
      <w:r w:rsidR="00BE1B15">
        <w:rPr>
          <w:bCs/>
        </w:rPr>
        <w:t xml:space="preserve"> (no costs)</w:t>
      </w:r>
    </w:p>
    <w:p w14:paraId="096102C4" w14:textId="28A4145A" w:rsidR="002D32D8" w:rsidRDefault="002D32D8" w:rsidP="002D32D8">
      <w:pPr>
        <w:pStyle w:val="Compact"/>
        <w:numPr>
          <w:ilvl w:val="1"/>
          <w:numId w:val="1"/>
        </w:numPr>
        <w:spacing w:after="0"/>
        <w:rPr>
          <w:bCs/>
        </w:rPr>
      </w:pPr>
      <w:r>
        <w:rPr>
          <w:b/>
        </w:rPr>
        <w:t>19%</w:t>
      </w:r>
      <w:r>
        <w:rPr>
          <w:bCs/>
        </w:rPr>
        <w:t xml:space="preserve"> of those who don’t die from their underlying condition die from TT-</w:t>
      </w:r>
      <w:proofErr w:type="gramStart"/>
      <w:r>
        <w:rPr>
          <w:bCs/>
        </w:rPr>
        <w:t>Sepsis</w:t>
      </w:r>
      <w:proofErr w:type="gramEnd"/>
    </w:p>
    <w:p w14:paraId="39AD9A76" w14:textId="1A3956B5" w:rsidR="002D32D8" w:rsidRPr="00BE1B15" w:rsidRDefault="00BE1B15" w:rsidP="002D32D8">
      <w:pPr>
        <w:pStyle w:val="Compact"/>
        <w:numPr>
          <w:ilvl w:val="2"/>
          <w:numId w:val="1"/>
        </w:numPr>
        <w:spacing w:after="0"/>
        <w:rPr>
          <w:bCs/>
        </w:rPr>
      </w:pPr>
      <w:r>
        <w:rPr>
          <w:bCs/>
        </w:rPr>
        <w:t>This implies</w:t>
      </w:r>
      <w:r w:rsidR="002D32D8" w:rsidRPr="00BE1B15">
        <w:rPr>
          <w:bCs/>
        </w:rPr>
        <w:t xml:space="preserve"> </w:t>
      </w:r>
      <w:r w:rsidR="00E84E04">
        <w:rPr>
          <w:bCs/>
        </w:rPr>
        <w:t>~</w:t>
      </w:r>
      <w:r w:rsidR="002D32D8" w:rsidRPr="00BE1B15">
        <w:rPr>
          <w:b/>
        </w:rPr>
        <w:t>1%</w:t>
      </w:r>
      <w:r w:rsidR="002D32D8" w:rsidRPr="00BE1B15">
        <w:rPr>
          <w:bCs/>
        </w:rPr>
        <w:t xml:space="preserve"> of all transfusion recipients die of TT-</w:t>
      </w:r>
      <w:proofErr w:type="gramStart"/>
      <w:r w:rsidR="002D32D8" w:rsidRPr="00BE1B15">
        <w:rPr>
          <w:bCs/>
        </w:rPr>
        <w:t>sepsis</w:t>
      </w:r>
      <w:proofErr w:type="gramEnd"/>
    </w:p>
    <w:p w14:paraId="328F769E" w14:textId="44C66A42" w:rsidR="002D32D8" w:rsidRDefault="002D32D8" w:rsidP="002D32D8">
      <w:pPr>
        <w:pStyle w:val="Compact"/>
        <w:spacing w:after="0"/>
        <w:rPr>
          <w:b/>
        </w:rPr>
      </w:pPr>
    </w:p>
    <w:p w14:paraId="11FA7341" w14:textId="77777777" w:rsidR="002D32D8" w:rsidRDefault="002D32D8" w:rsidP="002D32D8">
      <w:pPr>
        <w:pStyle w:val="Compact"/>
        <w:spacing w:after="0"/>
        <w:rPr>
          <w:b/>
        </w:rPr>
      </w:pPr>
    </w:p>
    <w:p w14:paraId="0282F80B" w14:textId="29E99BB4" w:rsidR="00F86AC6" w:rsidRDefault="00F86AC6" w:rsidP="002D32D8">
      <w:pPr>
        <w:pStyle w:val="Compact"/>
        <w:spacing w:after="0"/>
      </w:pPr>
      <w:r>
        <w:rPr>
          <w:b/>
        </w:rPr>
        <w:t>Table 1</w:t>
      </w:r>
      <w:r>
        <w:t xml:space="preserve"> Parameters for modeling the risk of adverse events with and without whole blood pathogen </w:t>
      </w:r>
      <w:proofErr w:type="gramStart"/>
      <w:r>
        <w:t>reduction</w:t>
      </w:r>
      <w:proofErr w:type="gram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456"/>
        <w:gridCol w:w="3456"/>
        <w:gridCol w:w="1728"/>
      </w:tblGrid>
      <w:tr w:rsidR="00F86AC6" w14:paraId="54356D03" w14:textId="77777777" w:rsidTr="00843141">
        <w:trPr>
          <w:cantSplit/>
          <w:tblHeader/>
          <w:jc w:val="center"/>
        </w:trPr>
        <w:tc>
          <w:tcPr>
            <w:tcW w:w="345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26362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Risk model parameters</w:t>
            </w:r>
          </w:p>
        </w:tc>
        <w:tc>
          <w:tcPr>
            <w:tcW w:w="345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B98F2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Value (range); distribution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74D84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Source</w:t>
            </w:r>
          </w:p>
        </w:tc>
      </w:tr>
      <w:tr w:rsidR="00F86AC6" w14:paraId="49993A11" w14:textId="77777777" w:rsidTr="00843141">
        <w:trPr>
          <w:cantSplit/>
          <w:jc w:val="center"/>
        </w:trPr>
        <w:tc>
          <w:tcPr>
            <w:tcW w:w="8640" w:type="dxa"/>
            <w:gridSpan w:val="3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3DE70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System parameters</w:t>
            </w:r>
          </w:p>
        </w:tc>
      </w:tr>
      <w:tr w:rsidR="00F86AC6" w14:paraId="5FC477B2" w14:textId="77777777" w:rsidTr="00843141">
        <w:trPr>
          <w:cantSplit/>
          <w:jc w:val="center"/>
        </w:trPr>
        <w:tc>
          <w:tcPr>
            <w:tcW w:w="345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56DAD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Percent recipients who are pediatric</w:t>
            </w:r>
          </w:p>
        </w:tc>
        <w:tc>
          <w:tcPr>
            <w:tcW w:w="345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D54F8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19% (15%–25%); PERT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1A71B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Mafirakureva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2015</w:t>
            </w:r>
          </w:p>
        </w:tc>
      </w:tr>
      <w:tr w:rsidR="00F86AC6" w14:paraId="444C9A75" w14:textId="77777777" w:rsidTr="00843141">
        <w:trPr>
          <w:cantSplit/>
          <w:jc w:val="center"/>
        </w:trPr>
        <w:tc>
          <w:tcPr>
            <w:tcW w:w="8640" w:type="dxa"/>
            <w:gridSpan w:val="3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845DB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Baseline risk</w:t>
            </w:r>
          </w:p>
        </w:tc>
      </w:tr>
      <w:tr w:rsidR="00F86AC6" w14:paraId="5E56AE28" w14:textId="77777777" w:rsidTr="00843141">
        <w:trPr>
          <w:cantSplit/>
          <w:jc w:val="center"/>
        </w:trPr>
        <w:tc>
          <w:tcPr>
            <w:tcW w:w="345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0E2D1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Sepsis (bacterial contamination)</w:t>
            </w:r>
          </w:p>
        </w:tc>
        <w:tc>
          <w:tcPr>
            <w:tcW w:w="345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A483E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15.1% (11.8%–18.8%); </w:t>
            </w:r>
            <w:proofErr w:type="gram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Beta(</w:t>
            </w:r>
            <w:proofErr w:type="gram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86, 483)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21D9B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Pooled analysis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  <w:vertAlign w:val="superscript"/>
              </w:rPr>
              <w:t>4</w:t>
            </w:r>
          </w:p>
        </w:tc>
      </w:tr>
      <w:tr w:rsidR="00F86AC6" w14:paraId="351CA80A" w14:textId="77777777" w:rsidTr="00843141">
        <w:trPr>
          <w:cantSplit/>
          <w:jc w:val="center"/>
        </w:trPr>
        <w:tc>
          <w:tcPr>
            <w:tcW w:w="8640" w:type="dxa"/>
            <w:gridSpan w:val="3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64EE0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Symptomatic outcome risk</w:t>
            </w:r>
          </w:p>
        </w:tc>
      </w:tr>
      <w:tr w:rsidR="00F86AC6" w14:paraId="735AF3D0" w14:textId="77777777" w:rsidTr="00843141">
        <w:trPr>
          <w:cantSplit/>
          <w:jc w:val="center"/>
        </w:trPr>
        <w:tc>
          <w:tcPr>
            <w:tcW w:w="345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9685B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Sepsis</w:t>
            </w:r>
          </w:p>
        </w:tc>
        <w:tc>
          <w:tcPr>
            <w:tcW w:w="345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562B8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41.7% (5%–70%); PERT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909D4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Owusu-Ofori 2012</w:t>
            </w:r>
          </w:p>
        </w:tc>
      </w:tr>
      <w:tr w:rsidR="00F86AC6" w14:paraId="27B4BFB5" w14:textId="77777777" w:rsidTr="00843141">
        <w:trPr>
          <w:cantSplit/>
          <w:jc w:val="center"/>
        </w:trPr>
        <w:tc>
          <w:tcPr>
            <w:tcW w:w="8640" w:type="dxa"/>
            <w:gridSpan w:val="3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D1B14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Fold reduction of WBPI</w:t>
            </w:r>
          </w:p>
        </w:tc>
      </w:tr>
      <w:tr w:rsidR="00F86AC6" w14:paraId="737A517B" w14:textId="77777777" w:rsidTr="00843141">
        <w:trPr>
          <w:cantSplit/>
          <w:jc w:val="center"/>
        </w:trPr>
        <w:tc>
          <w:tcPr>
            <w:tcW w:w="345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DBD87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Sepsis</w:t>
            </w:r>
          </w:p>
        </w:tc>
        <w:tc>
          <w:tcPr>
            <w:tcW w:w="345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CD39D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25 (10–40); PERT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EF359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Estimated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  <w:vertAlign w:val="superscript"/>
              </w:rPr>
              <w:t>9</w:t>
            </w:r>
          </w:p>
        </w:tc>
      </w:tr>
      <w:tr w:rsidR="00F86AC6" w14:paraId="20F943AA" w14:textId="77777777" w:rsidTr="00843141">
        <w:trPr>
          <w:cantSplit/>
          <w:jc w:val="center"/>
        </w:trPr>
        <w:tc>
          <w:tcPr>
            <w:tcW w:w="864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B40FE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  <w:vertAlign w:val="superscript"/>
              </w:rPr>
              <w:t>4</w:t>
            </w: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 xml:space="preserve">We pooled estimates of the rate of bacterial contamination in whole blood units in Ghana from five analyses: 9/100 units were contaminated in </w:t>
            </w:r>
            <w:proofErr w:type="spellStart"/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Allotey</w:t>
            </w:r>
            <w:proofErr w:type="spellEnd"/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 xml:space="preserve"> 2019; 24/192 in </w:t>
            </w:r>
            <w:proofErr w:type="spellStart"/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Adjeu</w:t>
            </w:r>
            <w:proofErr w:type="spellEnd"/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 xml:space="preserve"> 2009; 16/97 in </w:t>
            </w:r>
            <w:proofErr w:type="spellStart"/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Boye</w:t>
            </w:r>
            <w:proofErr w:type="spellEnd"/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 xml:space="preserve"> 2016; 14/80 in </w:t>
            </w:r>
            <w:proofErr w:type="spellStart"/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Opuku-Okrah</w:t>
            </w:r>
            <w:proofErr w:type="spellEnd"/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 xml:space="preserve"> 2009; and 23/100 in Owusu-Ofori 2012.</w:t>
            </w:r>
          </w:p>
        </w:tc>
      </w:tr>
      <w:tr w:rsidR="00F86AC6" w14:paraId="596CA6D3" w14:textId="77777777" w:rsidTr="00843141">
        <w:trPr>
          <w:cantSplit/>
          <w:jc w:val="center"/>
        </w:trPr>
        <w:tc>
          <w:tcPr>
            <w:tcW w:w="864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14A0C" w14:textId="77777777" w:rsidR="00F86AC6" w:rsidRDefault="00F86AC6" w:rsidP="002D32D8">
            <w:pPr>
              <w:spacing w:before="100" w:after="0" w:line="240" w:lineRule="auto"/>
              <w:ind w:left="100" w:right="100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  <w:vertAlign w:val="superscript"/>
              </w:rPr>
              <w:t>9</w:t>
            </w: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Agapova 2015 used 50, adjusted downwards based on authors' estimation.</w:t>
            </w:r>
          </w:p>
          <w:p w14:paraId="568F7AF3" w14:textId="06DB17EB" w:rsidR="00F86AC6" w:rsidRDefault="00F86AC6" w:rsidP="002D32D8">
            <w:pPr>
              <w:spacing w:before="100" w:after="0" w:line="240" w:lineRule="auto"/>
              <w:ind w:left="100" w:right="100"/>
            </w:pPr>
          </w:p>
        </w:tc>
      </w:tr>
    </w:tbl>
    <w:p w14:paraId="7085AD13" w14:textId="77777777" w:rsidR="002D32D8" w:rsidRDefault="002D32D8" w:rsidP="002D32D8">
      <w:pPr>
        <w:pStyle w:val="Compact"/>
        <w:spacing w:after="0"/>
        <w:rPr>
          <w:b/>
        </w:rPr>
      </w:pPr>
    </w:p>
    <w:p w14:paraId="1FF291F1" w14:textId="77777777" w:rsidR="00F41A79" w:rsidRDefault="00F41A79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6DCF34AE" w14:textId="43AEB214" w:rsidR="00F86AC6" w:rsidRPr="002D32D8" w:rsidRDefault="00F86AC6" w:rsidP="002D32D8">
      <w:pPr>
        <w:spacing w:after="0" w:line="259" w:lineRule="auto"/>
        <w:rPr>
          <w:b/>
        </w:rPr>
      </w:pPr>
      <w:r>
        <w:rPr>
          <w:b/>
        </w:rPr>
        <w:lastRenderedPageBreak/>
        <w:t>Table S1</w:t>
      </w:r>
      <w:r>
        <w:t xml:space="preserve"> Additional parameters used to calculate disability-adjusted life years (DALYs). These parameters were sampled from a PERT distribution in probabilistic sensitivity analysis.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456"/>
        <w:gridCol w:w="3456"/>
        <w:gridCol w:w="1728"/>
      </w:tblGrid>
      <w:tr w:rsidR="00F86AC6" w14:paraId="22E9578A" w14:textId="77777777" w:rsidTr="00843141">
        <w:trPr>
          <w:cantSplit/>
          <w:tblHeader/>
          <w:jc w:val="center"/>
        </w:trPr>
        <w:tc>
          <w:tcPr>
            <w:tcW w:w="345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4FC35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45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C66FA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Value (range)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769FA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Source</w:t>
            </w:r>
          </w:p>
        </w:tc>
      </w:tr>
      <w:tr w:rsidR="00F86AC6" w14:paraId="06848287" w14:textId="77777777" w:rsidTr="00843141">
        <w:trPr>
          <w:cantSplit/>
          <w:jc w:val="center"/>
        </w:trPr>
        <w:tc>
          <w:tcPr>
            <w:tcW w:w="8640" w:type="dxa"/>
            <w:gridSpan w:val="3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01A0E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Sepsis DALY calculation parameters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  <w:vertAlign w:val="superscript"/>
              </w:rPr>
              <w:t>1</w:t>
            </w:r>
          </w:p>
        </w:tc>
      </w:tr>
      <w:tr w:rsidR="00F86AC6" w14:paraId="43EAFE58" w14:textId="77777777" w:rsidTr="00843141">
        <w:trPr>
          <w:cantSplit/>
          <w:jc w:val="center"/>
        </w:trPr>
        <w:tc>
          <w:tcPr>
            <w:tcW w:w="345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016D6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Inpatient disability weight</w:t>
            </w:r>
          </w:p>
        </w:tc>
        <w:tc>
          <w:tcPr>
            <w:tcW w:w="345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8E682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0.5 (0.4–0.6)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FF01B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Custer 2010</w:t>
            </w:r>
          </w:p>
        </w:tc>
      </w:tr>
      <w:tr w:rsidR="00F86AC6" w14:paraId="33512177" w14:textId="77777777" w:rsidTr="00843141">
        <w:trPr>
          <w:cantSplit/>
          <w:jc w:val="center"/>
        </w:trPr>
        <w:tc>
          <w:tcPr>
            <w:tcW w:w="345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C5B33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Probability of mortality due to sepsis</w:t>
            </w:r>
          </w:p>
        </w:tc>
        <w:tc>
          <w:tcPr>
            <w:tcW w:w="345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37637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19% (12%–29%)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AE8C8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Lewis 2019</w:t>
            </w:r>
          </w:p>
        </w:tc>
      </w:tr>
      <w:tr w:rsidR="00F86AC6" w14:paraId="070246B4" w14:textId="77777777" w:rsidTr="00843141">
        <w:trPr>
          <w:cantSplit/>
          <w:jc w:val="center"/>
        </w:trPr>
        <w:tc>
          <w:tcPr>
            <w:tcW w:w="345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D9FC8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Probability of post-hospitalization sequelae</w:t>
            </w:r>
          </w:p>
        </w:tc>
        <w:tc>
          <w:tcPr>
            <w:tcW w:w="345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7956B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15% (10%–20%)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C1AF0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Custer 2010</w:t>
            </w:r>
          </w:p>
        </w:tc>
      </w:tr>
      <w:tr w:rsidR="00F86AC6" w14:paraId="1353D13D" w14:textId="77777777" w:rsidTr="00843141">
        <w:trPr>
          <w:cantSplit/>
          <w:jc w:val="center"/>
        </w:trPr>
        <w:tc>
          <w:tcPr>
            <w:tcW w:w="345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F0EE0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Duration post-hospitalization sequelae (days)</w:t>
            </w:r>
          </w:p>
        </w:tc>
        <w:tc>
          <w:tcPr>
            <w:tcW w:w="345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A9D03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20 (14–30)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65CD2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Assumed</w:t>
            </w:r>
          </w:p>
        </w:tc>
      </w:tr>
      <w:tr w:rsidR="00F86AC6" w14:paraId="26A0F624" w14:textId="77777777" w:rsidTr="00843141">
        <w:trPr>
          <w:cantSplit/>
          <w:jc w:val="center"/>
        </w:trPr>
        <w:tc>
          <w:tcPr>
            <w:tcW w:w="345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EC8D6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Disability weight for post-hospitalization sequelae</w:t>
            </w:r>
          </w:p>
        </w:tc>
        <w:tc>
          <w:tcPr>
            <w:tcW w:w="345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B6BA5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0.69 (0.59–0.79)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D71BC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Custer 2010</w:t>
            </w:r>
          </w:p>
        </w:tc>
      </w:tr>
      <w:tr w:rsidR="00F86AC6" w14:paraId="5CF6A92B" w14:textId="77777777" w:rsidTr="004A65F8">
        <w:trPr>
          <w:cantSplit/>
          <w:jc w:val="center"/>
        </w:trPr>
        <w:tc>
          <w:tcPr>
            <w:tcW w:w="8640" w:type="dxa"/>
            <w:gridSpan w:val="3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464AA" w14:textId="72646E2F" w:rsidR="00F86AC6" w:rsidRDefault="00F86AC6" w:rsidP="002D32D8">
            <w:pPr>
              <w:spacing w:before="100" w:after="0" w:line="240" w:lineRule="auto"/>
              <w:ind w:left="100" w:right="10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Sepsis: Inpatient mortality weight applied to the increased duration of hospitalization (parameter in Table S2). Probability of post-hospitalization sequelae appl</w:t>
            </w:r>
            <w:r w:rsidR="002D32D8"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 to patients surviving hospitalization.</w:t>
            </w:r>
          </w:p>
        </w:tc>
      </w:tr>
    </w:tbl>
    <w:p w14:paraId="3EAB09C1" w14:textId="77777777" w:rsidR="002D32D8" w:rsidRDefault="002D32D8" w:rsidP="002D32D8">
      <w:pPr>
        <w:pStyle w:val="Compact"/>
        <w:spacing w:after="0"/>
        <w:rPr>
          <w:b/>
        </w:rPr>
      </w:pPr>
    </w:p>
    <w:p w14:paraId="2993DECB" w14:textId="1EF8824A" w:rsidR="00F86AC6" w:rsidRDefault="00F86AC6" w:rsidP="002D32D8">
      <w:pPr>
        <w:pStyle w:val="Compact"/>
        <w:spacing w:after="0"/>
      </w:pPr>
      <w:r>
        <w:rPr>
          <w:b/>
        </w:rPr>
        <w:t>Table S2</w:t>
      </w:r>
      <w:r>
        <w:t xml:space="preserve"> Parameters for the micro-costing calculations</w:t>
      </w:r>
    </w:p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320"/>
        <w:gridCol w:w="3600"/>
        <w:gridCol w:w="1440"/>
      </w:tblGrid>
      <w:tr w:rsidR="00F86AC6" w14:paraId="1B67CB36" w14:textId="77777777" w:rsidTr="00F86AC6">
        <w:trPr>
          <w:cantSplit/>
          <w:tblHeader/>
          <w:jc w:val="center"/>
        </w:trPr>
        <w:tc>
          <w:tcPr>
            <w:tcW w:w="43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6EDAF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Micro-costing parameters</w:t>
            </w:r>
          </w:p>
        </w:tc>
        <w:tc>
          <w:tcPr>
            <w:tcW w:w="36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9278B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Value (range); distribution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ED896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Source</w:t>
            </w:r>
          </w:p>
        </w:tc>
      </w:tr>
      <w:tr w:rsidR="00F86AC6" w14:paraId="22798841" w14:textId="77777777" w:rsidTr="00F86AC6">
        <w:trPr>
          <w:cantSplit/>
          <w:jc w:val="center"/>
        </w:trPr>
        <w:tc>
          <w:tcPr>
            <w:tcW w:w="9360" w:type="dxa"/>
            <w:gridSpan w:val="3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B8C7D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Probability or proportion receiving</w:t>
            </w:r>
          </w:p>
        </w:tc>
      </w:tr>
      <w:tr w:rsidR="00F86AC6" w14:paraId="63856AA2" w14:textId="77777777" w:rsidTr="00F86AC6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CEE5F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Inpatient mortality (no adverse event)</w:t>
            </w:r>
          </w:p>
        </w:tc>
        <w:tc>
          <w:tcPr>
            <w:tcW w:w="36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1744D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0.072 (0.0576–0.0864); PERT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773E2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van Hulst 2008</w:t>
            </w:r>
          </w:p>
        </w:tc>
      </w:tr>
      <w:tr w:rsidR="00F86AC6" w14:paraId="00BFEB75" w14:textId="77777777" w:rsidTr="00F86AC6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8B846" w14:textId="34B1A615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Acute adverse event costs incurred if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inpatient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mortality</w:t>
            </w:r>
          </w:p>
        </w:tc>
        <w:tc>
          <w:tcPr>
            <w:tcW w:w="36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20CBA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0.45 (0.1–0.8); PERT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F175D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Estimated</w:t>
            </w:r>
          </w:p>
        </w:tc>
      </w:tr>
      <w:tr w:rsidR="00F86AC6" w14:paraId="3A530FE7" w14:textId="77777777" w:rsidTr="00F86AC6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805E8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Medication, Sepsis</w:t>
            </w:r>
          </w:p>
        </w:tc>
        <w:tc>
          <w:tcPr>
            <w:tcW w:w="36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74F21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0.9 (0.8–1); PERT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36127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Estimated</w:t>
            </w:r>
          </w:p>
        </w:tc>
      </w:tr>
      <w:tr w:rsidR="00F86AC6" w14:paraId="258A0910" w14:textId="77777777" w:rsidTr="00F86AC6">
        <w:trPr>
          <w:cantSplit/>
          <w:jc w:val="center"/>
        </w:trPr>
        <w:tc>
          <w:tcPr>
            <w:tcW w:w="9360" w:type="dxa"/>
            <w:gridSpan w:val="3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31C85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Costs</w:t>
            </w:r>
          </w:p>
        </w:tc>
      </w:tr>
      <w:tr w:rsidR="00F86AC6" w14:paraId="601413B5" w14:textId="77777777" w:rsidTr="00F86AC6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A7046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Additional inpatient day</w:t>
            </w:r>
          </w:p>
        </w:tc>
        <w:tc>
          <w:tcPr>
            <w:tcW w:w="36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1EF84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60 (40–80); PERT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E7CBB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Estimated</w:t>
            </w:r>
          </w:p>
        </w:tc>
      </w:tr>
      <w:tr w:rsidR="00F86AC6" w14:paraId="2C8EC992" w14:textId="77777777" w:rsidTr="00F86AC6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83BE3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Medication, Sepsis</w:t>
            </w:r>
          </w:p>
        </w:tc>
        <w:tc>
          <w:tcPr>
            <w:tcW w:w="36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E3195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372 (300–732); PERT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0EADC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Estimated</w:t>
            </w:r>
          </w:p>
        </w:tc>
      </w:tr>
      <w:tr w:rsidR="00F86AC6" w14:paraId="1EFB15C5" w14:textId="77777777" w:rsidTr="00F86AC6">
        <w:trPr>
          <w:cantSplit/>
          <w:jc w:val="center"/>
        </w:trPr>
        <w:tc>
          <w:tcPr>
            <w:tcW w:w="9360" w:type="dxa"/>
            <w:gridSpan w:val="3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ED33F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Quantity received</w:t>
            </w:r>
          </w:p>
        </w:tc>
      </w:tr>
      <w:tr w:rsidR="00F86AC6" w14:paraId="07172829" w14:textId="77777777" w:rsidTr="00F86AC6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BC091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Additional inpatient day, Sepsis</w:t>
            </w:r>
          </w:p>
        </w:tc>
        <w:tc>
          <w:tcPr>
            <w:tcW w:w="36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75364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6 (4–8); PERT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6FF91" w14:textId="77777777" w:rsidR="00F86AC6" w:rsidRDefault="00F86AC6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Estimated</w:t>
            </w:r>
          </w:p>
        </w:tc>
      </w:tr>
    </w:tbl>
    <w:p w14:paraId="66476058" w14:textId="1283A691" w:rsidR="002D32D8" w:rsidRDefault="002D32D8" w:rsidP="002D32D8">
      <w:pPr>
        <w:spacing w:after="0" w:line="259" w:lineRule="auto"/>
        <w:rPr>
          <w:b/>
        </w:rPr>
      </w:pPr>
    </w:p>
    <w:p w14:paraId="0A6E49A1" w14:textId="0120E6EA" w:rsidR="002D32D8" w:rsidRDefault="002D32D8" w:rsidP="002D32D8">
      <w:pPr>
        <w:pStyle w:val="Compact"/>
        <w:spacing w:after="0"/>
      </w:pPr>
      <w:r>
        <w:rPr>
          <w:b/>
        </w:rPr>
        <w:t>Table S4</w:t>
      </w:r>
      <w:r>
        <w:t xml:space="preserve"> Calculations used for each disease state (acute illness for sepsis, malaria, febrile non-hemolytic transfusion reactions, and </w:t>
      </w:r>
      <w:proofErr w:type="gramStart"/>
      <w:r>
        <w:t>syphilis;</w:t>
      </w:r>
      <w:proofErr w:type="gramEnd"/>
      <w:r>
        <w:t xml:space="preserve"> annual costs for each disease state in the HBV and HIV Markov models)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024"/>
        <w:gridCol w:w="6336"/>
      </w:tblGrid>
      <w:tr w:rsidR="002D32D8" w14:paraId="2536AA81" w14:textId="77777777" w:rsidTr="00843141">
        <w:trPr>
          <w:cantSplit/>
          <w:tblHeader/>
          <w:jc w:val="center"/>
        </w:trPr>
        <w:tc>
          <w:tcPr>
            <w:tcW w:w="302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B6374" w14:textId="77777777" w:rsidR="002D32D8" w:rsidRDefault="002D32D8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Disease state</w:t>
            </w:r>
          </w:p>
        </w:tc>
        <w:tc>
          <w:tcPr>
            <w:tcW w:w="63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33B4D" w14:textId="77777777" w:rsidR="002D32D8" w:rsidRDefault="002D32D8" w:rsidP="002D32D8">
            <w:pPr>
              <w:spacing w:before="100" w:after="0" w:line="240" w:lineRule="auto"/>
              <w:ind w:left="100" w:right="100"/>
            </w:pPr>
            <w:proofErr w:type="spellStart"/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Microcosting</w:t>
            </w:r>
            <w:proofErr w:type="spellEnd"/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calculation</w:t>
            </w:r>
          </w:p>
        </w:tc>
      </w:tr>
      <w:tr w:rsidR="002D32D8" w14:paraId="78014C92" w14:textId="77777777" w:rsidTr="00843141">
        <w:trPr>
          <w:cantSplit/>
          <w:jc w:val="center"/>
        </w:trPr>
        <w:tc>
          <w:tcPr>
            <w:tcW w:w="302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7CCD0" w14:textId="77777777" w:rsidR="002D32D8" w:rsidRDefault="002D32D8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Sepsis</w:t>
            </w:r>
          </w:p>
        </w:tc>
        <w:tc>
          <w:tcPr>
            <w:tcW w:w="6336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91903" w14:textId="77777777" w:rsidR="002D32D8" w:rsidRDefault="002D32D8" w:rsidP="002D32D8">
            <w:pPr>
              <w:spacing w:before="100" w:after="0" w:line="240" w:lineRule="auto"/>
              <w:ind w:left="100" w:right="10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(cost × quantity) additional inpatient days +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br/>
              <w:t>(proportion × cost) medication</w:t>
            </w:r>
          </w:p>
        </w:tc>
      </w:tr>
    </w:tbl>
    <w:p w14:paraId="2EA2AF7F" w14:textId="77777777" w:rsidR="00F86AC6" w:rsidRDefault="00F86AC6" w:rsidP="002D32D8">
      <w:pPr>
        <w:spacing w:after="0"/>
      </w:pPr>
    </w:p>
    <w:sectPr w:rsidR="00F86AC6" w:rsidSect="002D32D8">
      <w:pgSz w:w="12240" w:h="15840"/>
      <w:pgMar w:top="117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407A99"/>
    <w:multiLevelType w:val="hybridMultilevel"/>
    <w:tmpl w:val="01268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C6"/>
    <w:rsid w:val="00185A65"/>
    <w:rsid w:val="002D32D8"/>
    <w:rsid w:val="00560E4B"/>
    <w:rsid w:val="00607173"/>
    <w:rsid w:val="0067246F"/>
    <w:rsid w:val="00B03AE1"/>
    <w:rsid w:val="00B63BCA"/>
    <w:rsid w:val="00BE1B15"/>
    <w:rsid w:val="00E84E04"/>
    <w:rsid w:val="00EB7E05"/>
    <w:rsid w:val="00F41A79"/>
    <w:rsid w:val="00F8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D5EA2"/>
  <w15:chartTrackingRefBased/>
  <w15:docId w15:val="{29181056-6D45-4C02-8AB9-2AF5116D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AC6"/>
    <w:pPr>
      <w:spacing w:after="200" w:line="36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BodyText"/>
    <w:qFormat/>
    <w:rsid w:val="00F86AC6"/>
    <w:pPr>
      <w:spacing w:after="240" w:line="240" w:lineRule="auto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F86A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86AC6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Alton</dc:creator>
  <cp:keywords/>
  <dc:description/>
  <cp:lastModifiedBy>Russell, Alton</cp:lastModifiedBy>
  <cp:revision>3</cp:revision>
  <dcterms:created xsi:type="dcterms:W3CDTF">2021-03-22T14:49:00Z</dcterms:created>
  <dcterms:modified xsi:type="dcterms:W3CDTF">2021-03-22T15:22:00Z</dcterms:modified>
</cp:coreProperties>
</file>