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9.png" ContentType="image/png"/>
  <Override PartName="/word/media/rId30.png" ContentType="image/png"/>
  <Override PartName="/word/media/rId31.png" ContentType="image/png"/>
  <Override PartName="/word/media/rId4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Effectiveness</w:t>
      </w:r>
      <w:r>
        <w:t xml:space="preserve"> </w:t>
      </w:r>
      <w:r>
        <w:t xml:space="preserve">of</w:t>
      </w:r>
      <w:r>
        <w:t xml:space="preserve"> </w:t>
      </w:r>
      <w:r>
        <w:t xml:space="preserve">quarantine</w:t>
      </w:r>
      <w:r>
        <w:t xml:space="preserve"> </w:t>
      </w:r>
      <w:r>
        <w:t xml:space="preserve">and</w:t>
      </w:r>
      <w:r>
        <w:t xml:space="preserve"> </w:t>
      </w:r>
      <w:r>
        <w:t xml:space="preserve">testing</w:t>
      </w:r>
      <w:r>
        <w:t xml:space="preserve"> </w:t>
      </w:r>
      <w:r>
        <w:t xml:space="preserve">to</w:t>
      </w:r>
      <w:r>
        <w:t xml:space="preserve"> </w:t>
      </w:r>
      <w:r>
        <w:t xml:space="preserve">prevent</w:t>
      </w:r>
      <w:r>
        <w:t xml:space="preserve"> </w:t>
      </w:r>
      <w:r>
        <w:t xml:space="preserve">COVID-19</w:t>
      </w:r>
      <w:r>
        <w:t xml:space="preserve"> </w:t>
      </w:r>
      <w:r>
        <w:t xml:space="preserve">transmission</w:t>
      </w:r>
      <w:r>
        <w:t xml:space="preserve"> </w:t>
      </w:r>
      <w:r>
        <w:t xml:space="preserve">from</w:t>
      </w:r>
      <w:r>
        <w:t xml:space="preserve"> </w:t>
      </w:r>
      <w:r>
        <w:t xml:space="preserve">arriving</w:t>
      </w:r>
      <w:r>
        <w:t xml:space="preserve"> </w:t>
      </w:r>
      <w:r>
        <w:t xml:space="preserve">travelers</w:t>
      </w:r>
    </w:p>
    <w:p>
      <w:pPr>
        <w:pStyle w:val="Normal"/>
      </w:pPr>
    </w:p>
    <w:p>
      <w:pPr>
        <w:pStyle w:val="BodyText"/>
      </w:pPr>
      <w:r>
        <w:t xml:space="preserve">W. Alton Russell, MS</w:t>
      </w:r>
      <w:r>
        <w:rPr>
          <w:vertAlign w:val="superscript"/>
        </w:rPr>
        <w:t xml:space="preserve">1</w:t>
      </w:r>
      <w:r>
        <w:t xml:space="preserve">, David L. Buckeridge, MD, PhD, FRCPC</w:t>
      </w:r>
      <w:r>
        <w:rPr>
          <w:vertAlign w:val="superscript"/>
        </w:rPr>
        <w:t xml:space="preserve">2</w:t>
      </w:r>
    </w:p>
    <w:p>
      <w:pPr>
        <w:pStyle w:val="BodyText"/>
      </w:pPr>
    </w:p>
    <w:p>
      <w:pPr>
        <w:pStyle w:val="BodyText"/>
      </w:pPr>
      <w:r>
        <w:rPr>
          <w:vertAlign w:val="superscript"/>
        </w:rPr>
        <w:t xml:space="preserve">1</w:t>
      </w:r>
      <w:r>
        <w:t xml:space="preserve">Department of Management Science and Engineering, Stanford University, Stanford, CA, USA</w:t>
      </w:r>
    </w:p>
    <w:p>
      <w:pPr>
        <w:pStyle w:val="BodyText"/>
      </w:pPr>
      <w:r>
        <w:rPr>
          <w:vertAlign w:val="superscript"/>
        </w:rPr>
        <w:t xml:space="preserve">2</w:t>
      </w:r>
      <w:r>
        <w:t xml:space="preserve">School of Population and Global Health, McGill University, Montreal, QC, Canada</w:t>
      </w:r>
    </w:p>
    <w:p>
      <w:pPr>
        <w:pStyle w:val="BodyText"/>
      </w:pPr>
    </w:p>
    <w:p>
      <w:pPr>
        <w:pStyle w:val="Heading1"/>
      </w:pPr>
      <w:bookmarkStart w:id="20" w:name="corresponding-author"/>
      <w:r>
        <w:t xml:space="preserve">Corresponding author</w:t>
      </w:r>
      <w:bookmarkEnd w:id="20"/>
    </w:p>
    <w:p>
      <w:pPr>
        <w:pStyle w:val="Normal"/>
      </w:pPr>
      <w:r>
        <w:t xml:space="preserve">Name</w:t>
      </w:r>
    </w:p>
    <w:p>
      <w:pPr>
        <w:pStyle w:val="BodyText"/>
      </w:pPr>
      <w:r>
        <w:t xml:space="preserve">Street Address</w:t>
      </w:r>
    </w:p>
    <w:p>
      <w:pPr>
        <w:pStyle w:val="BodyText"/>
      </w:pPr>
      <w:r>
        <w:t xml:space="preserve">City, State ZIP</w:t>
      </w:r>
    </w:p>
    <w:p>
      <w:pPr>
        <w:pStyle w:val="BodyText"/>
      </w:pPr>
      <w:r>
        <w:t xml:space="preserve">Phone</w:t>
      </w:r>
    </w:p>
    <w:p>
      <w:pPr>
        <w:pStyle w:val="BodyText"/>
      </w:pPr>
      <w:r>
        <w:t xml:space="preserve">Email</w:t>
      </w:r>
    </w:p>
    <w:p>
      <w:pPr>
        <w:pStyle w:val="Heading5"/>
      </w:pPr>
      <w:bookmarkStart w:id="21" w:name="section"/>
      <w:bookmarkEnd w:id="21"/>
    </w:p>
    <w:p>
      <w:pPr>
        <w:pStyle w:val="Heading1"/>
      </w:pPr>
      <w:bookmarkStart w:id="22" w:name="key-words"/>
      <w:r>
        <w:t xml:space="preserve">Key words</w:t>
      </w:r>
      <w:bookmarkEnd w:id="22"/>
    </w:p>
    <w:p>
      <w:pPr>
        <w:pStyle w:val="Normal"/>
      </w:pPr>
    </w:p>
    <w:p>
      <w:pPr>
        <w:pStyle w:val="Heading1"/>
      </w:pPr>
      <w:bookmarkStart w:id="23" w:name="declarations"/>
      <w:r>
        <w:t xml:space="preserve">Declarations</w:t>
      </w:r>
      <w:bookmarkEnd w:id="23"/>
    </w:p>
    <w:p>
      <w:pPr>
        <w:pStyle w:val="Normal"/>
      </w:pPr>
      <w:r>
        <w:rPr>
          <w:b/>
        </w:rPr>
        <w:t xml:space="preserve">Funding:</w:t>
      </w:r>
    </w:p>
    <w:p>
      <w:pPr>
        <w:pStyle w:val="BodyText"/>
      </w:pPr>
      <w:r>
        <w:rPr>
          <w:b/>
        </w:rPr>
        <w:t xml:space="preserve">Conflicts:</w:t>
      </w:r>
    </w:p>
    <w:p>
      <w:pPr>
        <w:pStyle w:val="BodyText"/>
      </w:pPr>
      <w:r>
        <w:rPr>
          <w:b/>
        </w:rPr>
        <w:t xml:space="preserve">Ethics/Consent:</w:t>
      </w:r>
    </w:p>
    <w:p>
      <w:pPr>
        <w:pStyle w:val="BodyText"/>
      </w:pPr>
      <w:r>
        <w:rPr>
          <w:b/>
        </w:rPr>
        <w:t xml:space="preserve">Data and materials:</w:t>
      </w:r>
    </w:p>
    <w:p>
      <w:pPr>
        <w:pStyle w:val="BodyText"/>
      </w:pPr>
      <w:r>
        <w:rPr>
          <w:b/>
        </w:rPr>
        <w:t xml:space="preserve">Code availability:</w:t>
      </w:r>
    </w:p>
    <w:p>
      <w:pPr>
        <w:pStyle w:val="BodyText"/>
      </w:pPr>
      <w:r>
        <w:rPr>
          <w:b/>
        </w:rPr>
        <w:t xml:space="preserve">Authors’ contributions:</w:t>
      </w:r>
    </w:p>
    <w:p>
      <w:pPr>
        <w:pStyle w:val="Heading5"/>
      </w:pPr>
      <w:bookmarkStart w:id="24" w:name="section-1"/>
      <w:bookmarkEnd w:id="24"/>
    </w:p>
    <w:p>
      <w:pPr>
        <w:pStyle w:val="Heading1"/>
      </w:pPr>
      <w:bookmarkStart w:id="25" w:name="background"/>
      <w:r>
        <w:t xml:space="preserve">Background</w:t>
      </w:r>
      <w:bookmarkEnd w:id="25"/>
    </w:p>
    <w:p>
      <w:pPr>
        <w:pStyle w:val="BlockText"/>
      </w:pPr>
      <w:r>
        <w:t xml:space="preserve">COVID-19 outbreaks seeded by arriving travelers are concerning to all countries, particularly those with low community transmission. How to manage risk of SARS-CoV-2 transmission from arriving travelers is a critical policy question. A recent study estimated the distribution of incubation time for SARS-CoV-2 and conducted a probabilistic analysis of the number of symptomatic infections missed by active monitoring</w:t>
      </w:r>
      <w:r>
        <w:t xml:space="preserve"> </w:t>
      </w:r>
      <w:r>
        <w:t xml:space="preserve">[</w:t>
      </w:r>
      <w:r>
        <w:t xml:space="preserve">1</w:t>
      </w:r>
      <w:r>
        <w:t xml:space="preserve">]</w:t>
      </w:r>
      <w:r>
        <w:t xml:space="preserve">. While relevant, their analysis did not consider transmission by asymptomatic and presymptomatic travelers, the role of non-compliance, nor the possible use of testing, limiting applicability to policy decisions around arriving travelers.</w:t>
      </w:r>
    </w:p>
    <w:p>
      <w:pPr>
        <w:pStyle w:val="Heading1"/>
      </w:pPr>
      <w:bookmarkStart w:id="26" w:name="objective"/>
      <w:r>
        <w:t xml:space="preserve">Objective</w:t>
      </w:r>
      <w:bookmarkEnd w:id="26"/>
    </w:p>
    <w:p>
      <w:pPr>
        <w:pStyle w:val="BlockText"/>
      </w:pPr>
      <w:r>
        <w:t xml:space="preserve">We extended the prior analysis by evaluating policies that employ testing in addition to quarantine, by considering risk of presymptomatic and asymptomatic transmission, and by evaluating how quarantine and isolation compliance ifluenced community risk.</w:t>
      </w:r>
    </w:p>
    <w:p>
      <w:pPr>
        <w:pStyle w:val="Heading1"/>
      </w:pPr>
      <w:bookmarkStart w:id="27" w:name="methods-and-findings"/>
      <w:r>
        <w:t xml:space="preserve">Methods and findings</w:t>
      </w:r>
      <w:bookmarkEnd w:id="27"/>
    </w:p>
    <w:p>
      <w:pPr>
        <w:pStyle w:val="BlockText"/>
      </w:pPr>
      <w:r>
        <w:t xml:space="preserve">We compared the impact of 0 – 14 days of mandatory quarantine on the expected number of days at risk of community transmission per infected traveler (i.e., days when infectious and not in quarantine or isolation). In the base scenario, we assumed 80% of travelers quarantined, 80% isolated when symptomatic, 90% isolated after testing positive without symptoms, and 100% isolated after testing positive when symptomatic. For scenarios with testing we assumed PCR testing 24 hours before the end of quarantine and we assumed travelers who did not comply with quarantine were not tested. We assumed a sensitivity of 70% in presymptomatic- and symptomatic-infectious individuals and 60% in asymptomatic-infectious individuals (sensitivity for asymptomatic infections is poorly understood but possibly lower).</w:t>
      </w:r>
    </w:p>
    <w:p>
      <w:pPr>
        <w:pStyle w:val="BlockText"/>
      </w:pPr>
      <w:r>
        <w:t xml:space="preserve">We used code from Lauer 2020 to sample 1,000 bootstrapped lognormal parameters for the incubation time distribution</w:t>
      </w:r>
      <w:r>
        <w:t xml:space="preserve"> </w:t>
      </w:r>
      <w:r>
        <w:t xml:space="preserve">[</w:t>
      </w:r>
      <w:r>
        <w:t xml:space="preserve">1</w:t>
      </w:r>
      <w:r>
        <w:t xml:space="preserve">]</w:t>
      </w:r>
      <w:r>
        <w:t xml:space="preserve">. Following Moghadas 2020, we used gamma distributions for the durations of asymptomatic-infectious, presymptomatic-infectious, and symptomatic-infectious phases, and we truncated the presymptomatic-infectious distribution from 0.8 to 3 days</w:t>
      </w:r>
      <w:r>
        <w:t xml:space="preserve"> </w:t>
      </w:r>
      <w:r>
        <w:t xml:space="preserve">[</w:t>
      </w:r>
      <w:r>
        <w:t xml:space="preserve">2</w:t>
      </w:r>
      <w:r>
        <w:t xml:space="preserve">]</w:t>
      </w:r>
      <w:r>
        <w:t xml:space="preserve">. We introduced uncertainty into distributions from Moghadas 2020 by varying the mean and standard deviation uniformly by ±20% and sampled 1000 parameter sets for each distribution (Figure S1). For 1,000 sets of duration distributions, we simulated 1000 travelers with asymptomatic infection and determined the time infectiousness began (</w:t>
      </w:r>
      <m:oMath>
        <m:r>
          <m:t>t</m:t>
        </m:r>
        <m:r>
          <m:t>=</m:t>
        </m:r>
        <m:sSub>
          <m:e>
            <m:r>
              <m:t>t</m:t>
            </m:r>
          </m:e>
          <m:sub>
            <m:r>
              <m:t>i</m:t>
            </m:r>
          </m:sub>
        </m:sSub>
      </m:oMath>
      <w:r>
        <w:t xml:space="preserve">) and the time infectiousness ended (</w:t>
      </w:r>
      <m:oMath>
        <m:sSub>
          <m:e>
            <m:r>
              <m:t>t</m:t>
            </m:r>
          </m:e>
          <m:sub>
            <m:r>
              <m:t>r</m:t>
            </m:r>
          </m:sub>
        </m:sSub>
      </m:oMath>
      <w:r>
        <w:t xml:space="preserve">), and we simulated 6000 travelers with symptomatic infection for whom we determined the time symptoms began (</w:t>
      </w:r>
      <m:oMath>
        <m:sSub>
          <m:e>
            <m:r>
              <m:t>t</m:t>
            </m:r>
          </m:e>
          <m:sub>
            <m:r>
              <m:t>s</m:t>
            </m:r>
          </m:sub>
        </m:sSub>
      </m:oMath>
      <w:r>
        <w:t xml:space="preserve">) in addition to</w:t>
      </w:r>
      <w:r>
        <w:t xml:space="preserve"> </w:t>
      </w:r>
      <m:oMath>
        <m:sSub>
          <m:e>
            <m:r>
              <m:t>t</m:t>
            </m:r>
          </m:e>
          <m:sub>
            <m:r>
              <m:t>i</m:t>
            </m:r>
          </m:sub>
        </m:sSub>
      </m:oMath>
      <w:r>
        <w:t xml:space="preserve"> </w:t>
      </w:r>
      <w:r>
        <w:t xml:space="preserve">and</w:t>
      </w:r>
      <w:r>
        <w:t xml:space="preserve"> </w:t>
      </w:r>
      <m:oMath>
        <m:sSub>
          <m:e>
            <m:r>
              <m:t>t</m:t>
            </m:r>
          </m:e>
          <m:sub>
            <m:r>
              <m:t>r</m:t>
            </m:r>
          </m:sub>
        </m:sSub>
      </m:oMath>
      <w:r>
        <w:t xml:space="preserve">. At arrival (</w:t>
      </w:r>
      <m:oMath>
        <m:r>
          <m:t>t</m:t>
        </m:r>
        <m:r>
          <m:t>=</m:t>
        </m:r>
        <m:r>
          <m:t>u</m:t>
        </m:r>
      </m:oMath>
      <w:r>
        <w:t xml:space="preserve">), infected travelers were equally likely to be at any point of their infection from</w:t>
      </w:r>
      <w:r>
        <w:t xml:space="preserve"> </w:t>
      </w:r>
      <m:oMath>
        <m:r>
          <m:t>t</m:t>
        </m:r>
        <m:r>
          <m:t>−</m:t>
        </m:r>
        <m:r>
          <m:t>0</m:t>
        </m:r>
      </m:oMath>
      <w:r>
        <w:t xml:space="preserve"> </w:t>
      </w:r>
      <w:r>
        <w:t xml:space="preserve">to</w:t>
      </w:r>
      <w:r>
        <w:t xml:space="preserve"> </w:t>
      </w:r>
      <m:oMath>
        <m:sSub>
          <m:e>
            <m:r>
              <m:t>t</m:t>
            </m:r>
          </m:e>
          <m:sub>
            <m:r>
              <m:t>r</m:t>
            </m:r>
          </m:sub>
        </m:sSub>
      </m:oMath>
      <w:r>
        <w:t xml:space="preserve">. Using expressions in the supplement, we calculated the average days at risk across all infected travelers and calculated the expected value by weighting by the percent asymptomatic infections (24% in base scenario; average of two values used in</w:t>
      </w:r>
      <w:r>
        <w:t xml:space="preserve"> </w:t>
      </w:r>
      <w:r>
        <w:t xml:space="preserve">[</w:t>
      </w:r>
      <w:r>
        <w:t xml:space="preserve">2</w:t>
      </w:r>
      <w:r>
        <w:t xml:space="preserve">]</w:t>
      </w:r>
      <w:r>
        <w:t xml:space="preserve">).</w:t>
      </w:r>
    </w:p>
    <w:p>
      <w:pPr>
        <w:pStyle w:val="BlockText"/>
      </w:pPr>
      <w:r>
        <w:t xml:space="preserve">In the base scenario, infected travelers were at risk of community transmission 1.7 – 2.1 days on average (Figure 1; Table S2). Even a two-day quarantine (1.1 – 1.5 days at risk) was more effective than testing alone (1.5 – 1.8 days at risk). The addition of testing had diminishing benefit as the length of quarantine increased (reduction of 0.2, 0.06, and 0.003 days at risk for 2, 7, and 14-day quarantine, respectively). Compliance greatly influenced risk: a 14-day quarantine resulted in 1.3 - 1.6 days at risk assuming low compliance compared to 0 - 0.03 days assuming perfect compliance. If travelers were infected immediately before arriving, the days at risk would be 60% higher than the basecase assuming no intervention, and testing without quarantine would have little benefit.</w:t>
      </w:r>
    </w:p>
    <w:p>
      <w:pPr>
        <w:pStyle w:val="BlockText"/>
      </w:pPr>
      <w:r>
        <w:t xml:space="preserve">As shown in Figure 2, the person-days at risk of community transmission per 10,000 infected travelers depends on the prevalence. The expected number of secondary infections per 10,000 travelers depends on both prevalence and the rate of secondary infections per infected day in the community.</w:t>
      </w:r>
    </w:p>
    <w:p>
      <w:pPr>
        <w:pStyle w:val="Heading1"/>
      </w:pPr>
      <w:bookmarkStart w:id="28" w:name="discussion"/>
      <w:r>
        <w:t xml:space="preserve">Discussion</w:t>
      </w:r>
      <w:bookmarkEnd w:id="28"/>
    </w:p>
    <w:p>
      <w:pPr>
        <w:pStyle w:val="BlockText"/>
      </w:pPr>
      <w:r>
        <w:t xml:space="preserve">Quarantine is more effective than testing to reduce risk of transmission from arriving travelers. Testing can add value when longer quarantine is infeasible, but the benefits of testing diminish with quarantine length. Measures to increase compliance with quarantine and isolation guidelines can significantly reduce risk. We did not consider household transmission during quarantine, a substantial risk for countries with less strict quarantine requirements.</w:t>
      </w:r>
    </w:p>
    <w:p>
      <w:pPr>
        <w:sectPr xmlns:w="http://schemas.openxmlformats.org/wordprocessingml/2006/main" xmlns:r="http://schemas.openxmlformats.org/officeDocument/2006/relationships" w:rsidR="00BE0790" w:rsidSect="00A42BFA">
          <w:footerReference w:type="default" r:id="rId9"/>
          <w:pgSz w:w="12240" w:h="15840" w:orient="NA"/>
          <w:pgMar w:top="1440" w:right="1440" w:bottom="1440" w:left="1440" w:header="720" w:footer="720" w:gutter="0"/>
          <w:cols xmlns:w="http://schemas.openxmlformats.org/wordprocessingml/2006/main"/>
          <w:docGrid w:linePitch="326"/>
          <w:type xmlns:w="http://schemas.openxmlformats.org/wordprocessingml/2006/main" w:val="continuous"/>
        </w:sectPr>
      </w:pPr>
    </w:p>
    <w:p>
      <w:pPr>
        <w:pStyle w:val="Compact"/>
      </w:pPr>
      <w:r>
        <w:rPr>
          <w:b/>
        </w:rPr>
        <w:t xml:space="preserve">Fig. 1</w:t>
      </w:r>
      <w:r>
        <w:t xml:space="preserve"> </w:t>
      </w:r>
      <w:r>
        <w:t xml:space="preserve">Expected days at risk of community transmission risk per infectious traveler for ten scenarios. Points indicates the median and bars indicate 98% credible interval for each estimate.</w:t>
      </w:r>
      <w:r>
        <w:t xml:space="preserve"> </w:t>
      </w:r>
      <w:r>
        <w:t xml:space="preserve">“</w:t>
      </w:r>
      <w:r>
        <w:t xml:space="preserve">Low compliance</w:t>
      </w:r>
      <w:r>
        <w:t xml:space="preserve">”</w:t>
      </w:r>
      <w:r>
        <w:t xml:space="preserve"> </w:t>
      </w:r>
      <w:r>
        <w:t xml:space="preserve">scenario assumes 40% of travelers comply with quarantine, 50% isolate with symptoms or a positive test, and 70% isolate with both symptoms and a positive test. Abbreviations: asympt, asymptomatic.</w:t>
      </w:r>
    </w:p>
    <w:p>
      <w:pPr>
        <w:pStyle w:val="BodyText"/>
      </w:pPr>
      <w:r>
        <w:drawing>
          <wp:inline>
            <wp:extent cx="5943600" cy="4086225"/>
            <wp:effectExtent b="0" l="0" r="0" t="0"/>
            <wp:docPr descr="" title="" id="1" name="Picture"/>
            <a:graphic>
              <a:graphicData uri="http://schemas.openxmlformats.org/drawingml/2006/picture">
                <pic:pic>
                  <pic:nvPicPr>
                    <pic:cNvPr descr="figs/fig1.png" id="2" name="Picture"/>
                    <pic:cNvPicPr>
                      <a:picLocks noChangeArrowheads="1" noChangeAspect="1"/>
                    </pic:cNvPicPr>
                  </pic:nvPicPr>
                  <pic:blipFill>
                    <a:blip r:embed="rId29"/>
                    <a:stretch>
                      <a:fillRect/>
                    </a:stretch>
                  </pic:blipFill>
                  <pic:spPr bwMode="auto">
                    <a:xfrm>
                      <a:off x="0" y="0"/>
                      <a:ext cx="5943600" cy="4086225"/>
                    </a:xfrm>
                    <a:prstGeom prst="rect">
                      <a:avLst/>
                    </a:prstGeom>
                    <a:noFill/>
                    <a:ln w="9525">
                      <a:noFill/>
                      <a:headEnd/>
                      <a:tailEnd/>
                    </a:ln>
                  </pic:spPr>
                </pic:pic>
              </a:graphicData>
            </a:graphic>
          </wp:inline>
        </w:drawing>
      </w:r>
    </w:p>
    <w:p>
      <w:pPr>
        <w:sectPr xmlns:w="http://schemas.openxmlformats.org/wordprocessingml/2006/main" xmlns:r="http://schemas.openxmlformats.org/officeDocument/2006/relationships" w:rsidR="00BE0790" w:rsidSect="00A42BFA">
          <w:footerReference w:type="default" r:id="rId9"/>
          <w:pgSz w:w="15840" w:h="12240" w:orient="landscape"/>
          <w:pgMar w:top="1440" w:right="1440" w:bottom="1440" w:left="1440" w:header="720" w:footer="720" w:gutter="0"/>
          <w:cols xmlns:w="http://schemas.openxmlformats.org/wordprocessingml/2006/main"/>
          <w:docGrid w:linePitch="326"/>
          <w:type xmlns:w="http://schemas.openxmlformats.org/wordprocessingml/2006/main" w:val="oddPage"/>
        </w:sectPr>
      </w:pPr>
    </w:p>
    <w:p>
      <w:pPr>
        <w:pStyle w:val="Compact"/>
      </w:pPr>
      <w:r>
        <w:rPr>
          <w:b/>
        </w:rPr>
        <w:t xml:space="preserve">Fig. 2</w:t>
      </w:r>
      <w:r>
        <w:t xml:space="preserve"> </w:t>
      </w:r>
      <w:r>
        <w:t xml:space="preserve">Person-days at risk of community transmission per 10,000 arriving travelers for each policy by SARS-CoV-2 prevalence among travelers (base scenario). Points indicates the median and bars indicate 98% credible interval for each estimate. Abbreviations: Pr, prevalence of pre-infectious or infectiousness with SARS-CoV-2.</w:t>
      </w:r>
    </w:p>
    <w:p>
      <w:pPr>
        <w:pStyle w:val="BodyText"/>
      </w:pPr>
      <w:r>
        <w:drawing>
          <wp:inline>
            <wp:extent cx="5943600" cy="2286000"/>
            <wp:effectExtent b="0" l="0" r="0" t="0"/>
            <wp:docPr descr="" title="" id="3" name="Picture"/>
            <a:graphic>
              <a:graphicData uri="http://schemas.openxmlformats.org/drawingml/2006/picture">
                <pic:pic>
                  <pic:nvPicPr>
                    <pic:cNvPr descr="figs/fig2.png" id="4" name="Picture"/>
                    <pic:cNvPicPr>
                      <a:picLocks noChangeArrowheads="1" noChangeAspect="1"/>
                    </pic:cNvPicPr>
                  </pic:nvPicPr>
                  <pic:blipFill>
                    <a:blip r:embed="rId30"/>
                    <a:stretch>
                      <a:fillRect/>
                    </a:stretch>
                  </pic:blipFill>
                  <pic:spPr bwMode="auto">
                    <a:xfrm>
                      <a:off x="0" y="0"/>
                      <a:ext cx="5943600" cy="2286000"/>
                    </a:xfrm>
                    <a:prstGeom prst="rect">
                      <a:avLst/>
                    </a:prstGeom>
                    <a:noFill/>
                    <a:ln w="9525">
                      <a:noFill/>
                      <a:headEnd/>
                      <a:tailEnd/>
                    </a:ln>
                  </pic:spPr>
                </pic:pic>
              </a:graphicData>
            </a:graphic>
          </wp:inline>
        </w:drawing>
      </w:r>
    </w:p>
    <w:p>
      <w:pPr>
        <w:pStyle w:val="BodyText"/>
      </w:pPr>
    </w:p>
    <w:p>
      <w:pPr>
        <w:pStyle w:val="Compact"/>
      </w:pPr>
      <w:r>
        <w:rPr>
          <w:b/>
        </w:rPr>
        <w:t xml:space="preserve">Fig. 3</w:t>
      </w:r>
      <w:r>
        <w:t xml:space="preserve"> </w:t>
      </w:r>
      <w:r>
        <w:t xml:space="preserve">Secondary cases per 10,000 travelers for each policy by expected number of secondary infections per infectious person-day in community (base scenario). Assuming SARS-CoV-2 prevalence of 1 in 1,000 travelers. Points indicates the median and bars indicate 98% credible interval for each estimate.</w:t>
      </w:r>
    </w:p>
    <w:p>
      <w:pPr>
        <w:pStyle w:val="BodyText"/>
      </w:pPr>
      <w:r>
        <w:drawing>
          <wp:inline>
            <wp:extent cx="5943600" cy="2286000"/>
            <wp:effectExtent b="0" l="0" r="0" t="0"/>
            <wp:docPr descr="" title="" id="5" name="Picture"/>
            <a:graphic>
              <a:graphicData uri="http://schemas.openxmlformats.org/drawingml/2006/picture">
                <pic:pic>
                  <pic:nvPicPr>
                    <pic:cNvPr descr="figs/fig3.png" id="6" name="Picture"/>
                    <pic:cNvPicPr>
                      <a:picLocks noChangeArrowheads="1" noChangeAspect="1"/>
                    </pic:cNvPicPr>
                  </pic:nvPicPr>
                  <pic:blipFill>
                    <a:blip r:embed="rId31"/>
                    <a:stretch>
                      <a:fillRect/>
                    </a:stretch>
                  </pic:blipFill>
                  <pic:spPr bwMode="auto">
                    <a:xfrm>
                      <a:off x="0" y="0"/>
                      <a:ext cx="5943600" cy="2286000"/>
                    </a:xfrm>
                    <a:prstGeom prst="rect">
                      <a:avLst/>
                    </a:prstGeom>
                    <a:noFill/>
                    <a:ln w="9525">
                      <a:noFill/>
                      <a:headEnd/>
                      <a:tailEnd/>
                    </a:ln>
                  </pic:spPr>
                </pic:pic>
              </a:graphicData>
            </a:graphic>
          </wp:inline>
        </w:drawing>
      </w:r>
    </w:p>
    <w:p>
      <w:pPr>
        <w:pStyle w:val="Heading5"/>
      </w:pPr>
      <w:bookmarkStart w:id="32" w:name="section-2"/>
      <w:bookmarkEnd w:id="32"/>
    </w:p>
    <w:p>
      <w:pPr>
        <w:pStyle w:val="Heading1"/>
      </w:pPr>
      <w:bookmarkStart w:id="33" w:name="references"/>
      <w:r>
        <w:t xml:space="preserve">References</w:t>
      </w:r>
      <w:bookmarkEnd w:id="33"/>
    </w:p>
    <w:bookmarkStart w:id="38" w:name="refs"/>
    <w:bookmarkStart w:id="35" w:name="ref-Lauer2020"/>
    <w:p>
      <w:pPr>
        <w:pStyle w:val="Bibliography"/>
      </w:pPr>
      <w:r>
        <w:t xml:space="preserve">1. Lauer SA, Grantz KH, Bi Q, et al. The incubation period of coronavirus disease 2019 (CoVID-19) from publicly reported confirmed cases: Estimation and application.</w:t>
      </w:r>
      <w:r>
        <w:t xml:space="preserve"> </w:t>
      </w:r>
      <w:r>
        <w:rPr>
          <w:i/>
        </w:rPr>
        <w:t xml:space="preserve">Annals of Internal Medicine</w:t>
      </w:r>
      <w:r>
        <w:t xml:space="preserve">. 2020;172(9):577-582. doi:</w:t>
      </w:r>
      <w:hyperlink r:id="rId34">
        <w:r>
          <w:rPr>
            <w:rStyle w:val="Hyperlink"/>
          </w:rPr>
          <w:t xml:space="preserve">10.7326/M20-0504</w:t>
        </w:r>
      </w:hyperlink>
    </w:p>
    <w:bookmarkEnd w:id="35"/>
    <w:bookmarkStart w:id="37" w:name="ref-Moghadas2020"/>
    <w:p>
      <w:pPr>
        <w:pStyle w:val="Bibliography"/>
      </w:pPr>
      <w:r>
        <w:t xml:space="preserve">2. Moghadas SM, Fitzpatrick MC, Sah P, et al. The implications of silent transmission for the control of COVID-19 outbreaks.</w:t>
      </w:r>
      <w:r>
        <w:t xml:space="preserve"> </w:t>
      </w:r>
      <w:r>
        <w:rPr>
          <w:i/>
        </w:rPr>
        <w:t xml:space="preserve">Proceedings of the National Academy of Sciences</w:t>
      </w:r>
      <w:r>
        <w:t xml:space="preserve">. 2020;117(30):17513-17515. doi:</w:t>
      </w:r>
      <w:hyperlink r:id="rId36">
        <w:r>
          <w:rPr>
            <w:rStyle w:val="Hyperlink"/>
          </w:rPr>
          <w:t xml:space="preserve">10.1073/pnas.2008373117</w:t>
        </w:r>
      </w:hyperlink>
    </w:p>
    <w:bookmarkEnd w:id="37"/>
    <w:bookmarkEnd w:id="38"/>
    <w:p>
      <w:pPr>
        <w:pStyle w:val="Heading5"/>
      </w:pPr>
      <w:bookmarkStart w:id="39" w:name="section-3"/>
      <w:bookmarkEnd w:id="39"/>
    </w:p>
    <w:p>
      <w:pPr>
        <w:pStyle w:val="Heading8"/>
      </w:pPr>
      <w:bookmarkStart w:id="40" w:name="X2a78e02743521d9f198ca18310e62cc2cf1b1cd"/>
      <w:r>
        <w:t xml:space="preserve">Effectiveness of quarantine and testing to limit new COVID-19 cases from arriving travelers</w:t>
      </w:r>
      <w:bookmarkEnd w:id="40"/>
    </w:p>
    <w:p>
      <w:pPr>
        <w:pStyle w:val="Heading8"/>
      </w:pPr>
      <w:bookmarkStart w:id="41" w:name="supplement"/>
      <w:r>
        <w:t xml:space="preserve">Supplement</w:t>
      </w:r>
      <w:bookmarkEnd w:id="41"/>
    </w:p>
    <w:p>
      <w:pPr>
        <w:pStyle w:val="Normal"/>
      </w:pPr>
      <w:r>
        <w:t xml:space="preserve">W. Alton Russell, MS, David L. Buckeridge, MD, PhD, FRCPC</w:t>
      </w:r>
    </w:p>
    <w:p>
      <w:pPr>
        <w:pStyle w:val="BodyText"/>
      </w:pPr>
    </w:p>
    <w:p>
      <w:pPr>
        <w:pStyle w:val="Heading1"/>
      </w:pPr>
      <w:bookmarkStart w:id="42" w:name="X1f86e02b753061728ca86bf46dc4a757a5d08ce"/>
      <w:r>
        <w:t xml:space="preserve">Calculation of days at risk based on quarantine duration and testing</w:t>
      </w:r>
      <w:bookmarkEnd w:id="42"/>
    </w:p>
    <w:p>
      <w:pPr>
        <w:pStyle w:val="BlockText"/>
      </w:pPr>
      <w:r>
        <w:t xml:space="preserve">We calculated the expected number of days at risk of community transmission for each person with an active SARS-CoV-2 infection (either pre-infectious or infectious) using the expressions below. In the expressions below, time is with respect to the time of infection</w:t>
      </w:r>
      <w:r>
        <w:t xml:space="preserve"> </w:t>
      </w:r>
      <m:oMath>
        <m:sSub>
          <m:e>
            <m:r>
              <m:t>t</m:t>
            </m:r>
          </m:e>
          <m:sub>
            <m:r>
              <m:t>0</m:t>
            </m:r>
          </m:sub>
        </m:sSub>
      </m:oMath>
      <w:r>
        <w:t xml:space="preserve">.</w:t>
      </w:r>
    </w:p>
    <w:p>
      <w:pPr>
        <w:pStyle w:val="BlockText"/>
      </w:pPr>
      <w:r>
        <w:rPr>
          <w:b/>
        </w:rPr>
        <w:t xml:space="preserve">Asymptomatic infections</w:t>
      </w:r>
      <w:r>
        <w:t xml:space="preserve"> </w:t>
      </w:r>
      <w:r>
        <w:t xml:space="preserve">Travelers with asymptomatic infection comply with quarantine with probability</w:t>
      </w:r>
      <w:r>
        <w:t xml:space="preserve"> </w:t>
      </w:r>
      <m:oMath>
        <m:sSub>
          <m:e>
            <m:r>
              <m:t>P</m:t>
            </m:r>
          </m:e>
          <m:sub>
            <m:r>
              <m:t>q</m:t>
            </m:r>
          </m:sub>
        </m:sSub>
      </m:oMath>
      <w:r>
        <w:t xml:space="preserve">. If they do not comply, they will be infectious in the community from the greater of the time they become infectious (</w:t>
      </w:r>
      <m:oMath>
        <m:sSub>
          <m:e>
            <m:r>
              <m:t>t</m:t>
            </m:r>
          </m:e>
          <m:sub>
            <m:r>
              <m:t>i</m:t>
            </m:r>
          </m:sub>
        </m:sSub>
      </m:oMath>
      <w:r>
        <w:t xml:space="preserve">) and the time they arrive (</w:t>
      </w:r>
      <m:oMath>
        <m:r>
          <m:t>u</m:t>
        </m:r>
      </m:oMath>
      <w:r>
        <w:t xml:space="preserve">), and their</w:t>
      </w:r>
      <w:r>
        <w:t xml:space="preserve"> </w:t>
      </w:r>
      <w:r>
        <w:t xml:space="preserve">“</w:t>
      </w:r>
      <w:r>
        <w:t xml:space="preserve">infectious days in community</w:t>
      </w:r>
      <w:r>
        <w:t xml:space="preserve">”</w:t>
      </w:r>
      <w:r>
        <w:t xml:space="preserve"> </w:t>
      </w:r>
      <w:r>
        <w:t xml:space="preserve">will end when they recover,</w:t>
      </w:r>
      <w:r>
        <w:t xml:space="preserve"> </w:t>
      </w:r>
      <m:oMath>
        <m:sSub>
          <m:e>
            <m:r>
              <m:t>t</m:t>
            </m:r>
          </m:e>
          <m:sub>
            <m:r>
              <m:t>r</m:t>
            </m:r>
          </m:sub>
        </m:sSub>
      </m:oMath>
      <w:r>
        <w:t xml:space="preserve">. If they comply with quarantine, their infectious days will begin at the greater of</w:t>
      </w:r>
      <w:r>
        <w:t xml:space="preserve"> </w:t>
      </w:r>
      <m:oMath>
        <m:sSub>
          <m:e>
            <m:r>
              <m:t>t</m:t>
            </m:r>
          </m:e>
          <m:sub>
            <m:r>
              <m:t>i</m:t>
            </m:r>
          </m:sub>
        </m:sSub>
      </m:oMath>
      <w:r>
        <w:t xml:space="preserve"> </w:t>
      </w:r>
      <w:r>
        <w:t xml:space="preserve">and quarantine ends, represented by</w:t>
      </w:r>
      <w:r>
        <w:t xml:space="preserve"> </w:t>
      </w:r>
      <m:oMath>
        <m:r>
          <m:t>u</m:t>
        </m:r>
        <m:r>
          <m:t>+</m:t>
        </m:r>
        <m:r>
          <m:t>d</m:t>
        </m:r>
      </m:oMath>
      <w:r>
        <w:t xml:space="preserve">. Therefore, the expected number of days at risk of community transmission for asymptomatic individuals without testing is:</w:t>
      </w:r>
    </w:p>
    <w:p>
      <w:pPr>
        <w:pStyle w:val="Normal"/>
      </w:pPr>
      <m:oMathPara>
        <m:oMathParaPr>
          <m:jc m:val="center"/>
        </m:oMathParaPr>
        <m:oMath>
          <m:r>
            <m:t>[</m:t>
          </m:r>
          <m:r>
            <m:t>(</m:t>
          </m:r>
          <m:r>
            <m:t>1</m:t>
          </m:r>
          <m:r>
            <m:t>−</m:t>
          </m:r>
          <m:sSub>
            <m:e>
              <m:r>
                <m:t>P</m:t>
              </m:r>
            </m:e>
            <m:sub>
              <m:r>
                <m:t>q</m:t>
              </m:r>
            </m:sub>
          </m:sSub>
          <m:r>
            <m:t>)</m:t>
          </m:r>
          <m:r>
            <m:t>(</m:t>
          </m:r>
          <m:sSub>
            <m:e>
              <m:r>
                <m:t>t</m:t>
              </m:r>
            </m:e>
            <m:sub>
              <m:r>
                <m:t>r</m:t>
              </m:r>
            </m:sub>
          </m:sSub>
          <m:r>
            <m:t>−</m:t>
          </m:r>
          <m:r>
            <m:rPr>
              <m:sty m:val="p"/>
            </m:rPr>
            <m:t>max</m:t>
          </m:r>
          <m:r>
            <m:t>(</m:t>
          </m:r>
          <m:sSub>
            <m:e>
              <m:r>
                <m:t>t</m:t>
              </m:r>
            </m:e>
            <m:sub>
              <m:r>
                <m:t>i</m:t>
              </m:r>
            </m:sub>
          </m:sSub>
          <m:r>
            <m:t>,</m:t>
          </m:r>
          <m:r>
            <m:t>u</m:t>
          </m:r>
          <m:r>
            <m:t>)</m:t>
          </m:r>
          <m:r>
            <m:t>)</m:t>
          </m:r>
          <m:sSup>
            <m:e>
              <m:r>
                <m:t>]</m:t>
              </m:r>
            </m:e>
            <m:sup>
              <m:r>
                <m:t>+</m:t>
              </m:r>
            </m:sup>
          </m:sSup>
          <m:r>
            <m:t>+</m:t>
          </m:r>
          <m:r>
            <m:t>[</m:t>
          </m:r>
          <m:sSub>
            <m:e>
              <m:r>
                <m:t>P</m:t>
              </m:r>
            </m:e>
            <m:sub>
              <m:r>
                <m:t>q</m:t>
              </m:r>
            </m:sub>
          </m:sSub>
          <m:r>
            <m:t>(</m:t>
          </m:r>
          <m:sSub>
            <m:e>
              <m:r>
                <m:t>t</m:t>
              </m:r>
            </m:e>
            <m:sub>
              <m:r>
                <m:t>r</m:t>
              </m:r>
            </m:sub>
          </m:sSub>
          <m:r>
            <m:t>−</m:t>
          </m:r>
          <m:r>
            <m:rPr>
              <m:sty m:val="p"/>
            </m:rPr>
            <m:t>max</m:t>
          </m:r>
          <m:r>
            <m:t>(</m:t>
          </m:r>
          <m:sSub>
            <m:e>
              <m:r>
                <m:t>t</m:t>
              </m:r>
            </m:e>
            <m:sub>
              <m:r>
                <m:t>i</m:t>
              </m:r>
            </m:sub>
          </m:sSub>
          <m:r>
            <m:t>,</m:t>
          </m:r>
          <m:r>
            <m:t>u</m:t>
          </m:r>
          <m:r>
            <m:t>+</m:t>
          </m:r>
          <m:r>
            <m:t>d</m:t>
          </m:r>
          <m:r>
            <m:t>)</m:t>
          </m:r>
          <m:r>
            <m:t>)</m:t>
          </m:r>
          <m:sSup>
            <m:e>
              <m:r>
                <m:t>]</m:t>
              </m:r>
            </m:e>
            <m:sup>
              <m:r>
                <m:t>+</m:t>
              </m:r>
            </m:sup>
          </m:sSup>
        </m:oMath>
      </m:oMathPara>
    </w:p>
    <w:p>
      <w:pPr>
        <w:pStyle w:val="BlockText"/>
      </w:pPr>
      <w:r>
        <w:t xml:space="preserve">In policies with testing, we assume those who do not comply with quarantine also do not receive testing. Those who are compliant are tested 1 day before quarantine end (</w:t>
      </w:r>
      <m:oMath>
        <m:r>
          <m:t>u</m:t>
        </m:r>
        <m:r>
          <m:t>+</m:t>
        </m:r>
        <m:r>
          <m:t>d</m:t>
        </m:r>
        <m:r>
          <m:t>−</m:t>
        </m:r>
        <m:r>
          <m:t>1</m:t>
        </m:r>
      </m:oMath>
      <w:r>
        <w:t xml:space="preserve">). If they are tested before infectious (</w:t>
      </w:r>
      <m:oMath>
        <m:r>
          <m:t>u</m:t>
        </m:r>
        <m:r>
          <m:t>+</m:t>
        </m:r>
        <m:r>
          <m:t>d</m:t>
        </m:r>
        <m:r>
          <m:t>−</m:t>
        </m:r>
        <m:r>
          <m:t>1</m:t>
        </m:r>
        <m:r>
          <m:t>&lt;</m:t>
        </m:r>
        <m:sSub>
          <m:e>
            <m:r>
              <m:t>t</m:t>
            </m:r>
          </m:e>
          <m:sub>
            <m:r>
              <m:t>i</m:t>
            </m:r>
          </m:sub>
        </m:sSub>
      </m:oMath>
      <w:r>
        <w:t xml:space="preserve">) they will test negative and be at risk of community transmission from the greater of</w:t>
      </w:r>
      <w:r>
        <w:t xml:space="preserve"> </w:t>
      </w:r>
      <m:oMath>
        <m:sSub>
          <m:e>
            <m:r>
              <m:t>t</m:t>
            </m:r>
          </m:e>
          <m:sub>
            <m:r>
              <m:t>i</m:t>
            </m:r>
          </m:sub>
        </m:sSub>
      </m:oMath>
      <w:r>
        <w:t xml:space="preserve"> </w:t>
      </w:r>
      <w:r>
        <w:t xml:space="preserve">and</w:t>
      </w:r>
      <w:r>
        <w:t xml:space="preserve"> </w:t>
      </w:r>
      <m:oMath>
        <m:r>
          <m:t>d</m:t>
        </m:r>
        <m:r>
          <m:t>+</m:t>
        </m:r>
        <m:r>
          <m:t>u</m:t>
        </m:r>
      </m:oMath>
      <w:r>
        <w:t xml:space="preserve"> </w:t>
      </w:r>
      <w:r>
        <w:t xml:space="preserve">until</w:t>
      </w:r>
      <w:r>
        <w:t xml:space="preserve"> </w:t>
      </w:r>
      <m:oMath>
        <m:sSub>
          <m:e>
            <m:r>
              <m:t>t</m:t>
            </m:r>
          </m:e>
          <m:sub>
            <m:r>
              <m:t>r</m:t>
            </m:r>
          </m:sub>
        </m:sSub>
      </m:oMath>
      <w:r>
        <w:t xml:space="preserve">. If they are tested while infectious, they will only be at risk of community transmission if they test false-negative (probability</w:t>
      </w:r>
      <w:r>
        <w:t xml:space="preserve"> </w:t>
      </w:r>
      <m:oMath>
        <m:r>
          <m:t>1</m:t>
        </m:r>
        <m:r>
          <m:t>−</m:t>
        </m:r>
        <m:r>
          <m:t>S</m:t>
        </m:r>
        <m:sSub>
          <m:e>
            <m:r>
              <m:t>n</m:t>
            </m:r>
          </m:e>
          <m:sub>
            <m:r>
              <m:t>A</m:t>
            </m:r>
          </m:sub>
        </m:sSub>
      </m:oMath>
      <w:r>
        <w:t xml:space="preserve"> </w:t>
      </w:r>
      <w:r>
        <w:t xml:space="preserve">where</w:t>
      </w:r>
      <w:r>
        <w:t xml:space="preserve"> </w:t>
      </w:r>
      <m:oMath>
        <m:r>
          <m:t>S</m:t>
        </m:r>
        <m:sSub>
          <m:e>
            <m:r>
              <m:t>n</m:t>
            </m:r>
          </m:e>
          <m:sub>
            <m:r>
              <m:t>A</m:t>
            </m:r>
          </m:sub>
        </m:sSub>
      </m:oMath>
      <w:r>
        <w:t xml:space="preserve"> </w:t>
      </w:r>
      <w:r>
        <w:t xml:space="preserve">is test sensitivity during the asymptomatic-infectious stage) or if they test positive but refuse to quarantine (</w:t>
      </w:r>
      <m:oMath>
        <m:r>
          <m:t>S</m:t>
        </m:r>
        <m:sSub>
          <m:e>
            <m:r>
              <m:t>n</m:t>
            </m:r>
          </m:e>
          <m:sub>
            <m:r>
              <m:t>A</m:t>
            </m:r>
          </m:sub>
        </m:sSub>
        <m:r>
          <m:t>(</m:t>
        </m:r>
        <m:r>
          <m:t>1</m:t>
        </m:r>
        <m:r>
          <m:t>−</m:t>
        </m:r>
        <m:sSub>
          <m:e>
            <m:r>
              <m:t>P</m:t>
            </m:r>
          </m:e>
          <m:sub>
            <m:r>
              <m:t>i</m:t>
            </m:r>
            <m:r>
              <m:t>t</m:t>
            </m:r>
          </m:sub>
        </m:sSub>
        <m:r>
          <m:t>)</m:t>
        </m:r>
      </m:oMath>
      <w:r>
        <w:t xml:space="preserve"> </w:t>
      </w:r>
      <w:r>
        <w:t xml:space="preserve">where</w:t>
      </w:r>
      <w:r>
        <w:t xml:space="preserve"> </w:t>
      </w:r>
      <m:oMath>
        <m:sSub>
          <m:e>
            <m:r>
              <m:t>P</m:t>
            </m:r>
          </m:e>
          <m:sub>
            <m:r>
              <m:t>i</m:t>
            </m:r>
            <m:r>
              <m:t>t</m:t>
            </m:r>
          </m:sub>
        </m:sSub>
      </m:oMath>
      <w:r>
        <w:t xml:space="preserve"> </w:t>
      </w:r>
      <w:r>
        <w:t xml:space="preserve">is probability of isolation given a positive test and no symptoms). Therefore, the expected number of days at risk of community transmission for asymptomatic individuals with testing is:</w:t>
      </w:r>
    </w:p>
    <w:p>
      <w:pPr>
        <w:pStyle w:val="Normal"/>
      </w:pPr>
      <m:oMathPara>
        <m:oMathParaPr>
          <m:jc m:val="center"/>
        </m:oMathParaPr>
        <m:oMath>
          <m:r>
            <m:t>[</m:t>
          </m:r>
          <m:r>
            <m:t>(</m:t>
          </m:r>
          <m:r>
            <m:t>1</m:t>
          </m:r>
          <m:r>
            <m:t>−</m:t>
          </m:r>
          <m:sSub>
            <m:e>
              <m:r>
                <m:t>P</m:t>
              </m:r>
            </m:e>
            <m:sub>
              <m:r>
                <m:t>q</m:t>
              </m:r>
            </m:sub>
          </m:sSub>
          <m:r>
            <m:t>)</m:t>
          </m:r>
          <m:r>
            <m:t>(</m:t>
          </m:r>
          <m:sSub>
            <m:e>
              <m:r>
                <m:t>t</m:t>
              </m:r>
            </m:e>
            <m:sub>
              <m:r>
                <m:t>r</m:t>
              </m:r>
            </m:sub>
          </m:sSub>
          <m:r>
            <m:t>−</m:t>
          </m:r>
          <m:r>
            <m:rPr>
              <m:sty m:val="p"/>
            </m:rPr>
            <m:t>max</m:t>
          </m:r>
          <m:r>
            <m:t>(</m:t>
          </m:r>
          <m:sSub>
            <m:e>
              <m:r>
                <m:t>t</m:t>
              </m:r>
            </m:e>
            <m:sub>
              <m:r>
                <m:t>i</m:t>
              </m:r>
            </m:sub>
          </m:sSub>
          <m:r>
            <m:t>,</m:t>
          </m:r>
          <m:r>
            <m:t>u</m:t>
          </m:r>
          <m:r>
            <m:t>)</m:t>
          </m:r>
          <m:r>
            <m:t>)</m:t>
          </m:r>
          <m:sSup>
            <m:e>
              <m:r>
                <m:t>]</m:t>
              </m:r>
            </m:e>
            <m:sup>
              <m:r>
                <m:t>+</m:t>
              </m:r>
            </m:sup>
          </m:sSup>
          <m:r>
            <m:t>+</m:t>
          </m:r>
          <m:sSub>
            <m:e>
              <m:r>
                <m:t>P</m:t>
              </m:r>
            </m:e>
            <m:sub>
              <m:r>
                <m:t>q</m:t>
              </m:r>
            </m:sub>
          </m:sSub>
          <m:r>
            <m:t>[</m:t>
          </m:r>
          <m:sSub>
            <m:e>
              <m:r>
                <m:rPr>
                  <m:sty m:val="b"/>
                </m:rPr>
                <m:t>1</m:t>
              </m:r>
            </m:e>
            <m:sub>
              <m:r>
                <m:t>{</m:t>
              </m:r>
              <m:r>
                <m:t>u</m:t>
              </m:r>
              <m:r>
                <m:t>+</m:t>
              </m:r>
              <m:r>
                <m:t>d</m:t>
              </m:r>
              <m:r>
                <m:t>−</m:t>
              </m:r>
              <m:r>
                <m:t>1</m:t>
              </m:r>
              <m:r>
                <m:t>&lt;</m:t>
              </m:r>
              <m:sSub>
                <m:e>
                  <m:r>
                    <m:t>t</m:t>
                  </m:r>
                </m:e>
                <m:sub>
                  <m:r>
                    <m:t>i</m:t>
                  </m:r>
                </m:sub>
              </m:sSub>
              <m:r>
                <m:t>}</m:t>
              </m:r>
            </m:sub>
          </m:sSub>
          <m:r>
            <m:t>(</m:t>
          </m:r>
          <m:sSub>
            <m:e>
              <m:r>
                <m:t>t</m:t>
              </m:r>
            </m:e>
            <m:sub>
              <m:r>
                <m:t>r</m:t>
              </m:r>
            </m:sub>
          </m:sSub>
          <m:r>
            <m:t>−</m:t>
          </m:r>
          <m:r>
            <m:rPr>
              <m:sty m:val="p"/>
            </m:rPr>
            <m:t>max</m:t>
          </m:r>
          <m:r>
            <m:t>(</m:t>
          </m:r>
          <m:sSub>
            <m:e>
              <m:r>
                <m:t>t</m:t>
              </m:r>
            </m:e>
            <m:sub>
              <m:r>
                <m:t>i</m:t>
              </m:r>
            </m:sub>
          </m:sSub>
          <m:r>
            <m:t>,</m:t>
          </m:r>
          <m:r>
            <m:t>d</m:t>
          </m:r>
          <m:r>
            <m:t>+</m:t>
          </m:r>
          <m:r>
            <m:t>u</m:t>
          </m:r>
          <m:r>
            <m:t>)</m:t>
          </m:r>
          <m:r>
            <m:t>)</m:t>
          </m:r>
          <m:r>
            <m:t>+</m:t>
          </m:r>
          <m:sSub>
            <m:e>
              <m:r>
                <m:rPr>
                  <m:sty m:val="b"/>
                </m:rPr>
                <m:t>1</m:t>
              </m:r>
            </m:e>
            <m:sub>
              <m:r>
                <m:t>{</m:t>
              </m:r>
              <m:r>
                <m:t>u</m:t>
              </m:r>
              <m:r>
                <m:t>+</m:t>
              </m:r>
              <m:r>
                <m:t>d</m:t>
              </m:r>
              <m:r>
                <m:t>−</m:t>
              </m:r>
              <m:r>
                <m:t>1</m:t>
              </m:r>
              <m:r>
                <m:t>≥</m:t>
              </m:r>
              <m:sSub>
                <m:e>
                  <m:r>
                    <m:t>t</m:t>
                  </m:r>
                </m:e>
                <m:sub>
                  <m:r>
                    <m:t>i</m:t>
                  </m:r>
                </m:sub>
              </m:sSub>
              <m:r>
                <m:t>}</m:t>
              </m:r>
            </m:sub>
          </m:sSub>
          <m:r>
            <m:t>(</m:t>
          </m:r>
          <m:r>
            <m:t>(</m:t>
          </m:r>
          <m:r>
            <m:t>1</m:t>
          </m:r>
          <m:r>
            <m:t>−</m:t>
          </m:r>
          <m:r>
            <m:t>S</m:t>
          </m:r>
          <m:sSub>
            <m:e>
              <m:r>
                <m:t>n</m:t>
              </m:r>
            </m:e>
            <m:sub>
              <m:r>
                <m:t>A</m:t>
              </m:r>
            </m:sub>
          </m:sSub>
          <m:r>
            <m:t>)</m:t>
          </m:r>
          <m:r>
            <m:t>+</m:t>
          </m:r>
          <m:r>
            <m:t>S</m:t>
          </m:r>
          <m:sSub>
            <m:e>
              <m:r>
                <m:t>n</m:t>
              </m:r>
            </m:e>
            <m:sub>
              <m:r>
                <m:t>A</m:t>
              </m:r>
            </m:sub>
          </m:sSub>
          <m:r>
            <m:t>(</m:t>
          </m:r>
          <m:r>
            <m:t>1</m:t>
          </m:r>
          <m:r>
            <m:t>−</m:t>
          </m:r>
          <m:sSub>
            <m:e>
              <m:r>
                <m:t>P</m:t>
              </m:r>
            </m:e>
            <m:sub>
              <m:r>
                <m:t>i</m:t>
              </m:r>
              <m:r>
                <m:t>t</m:t>
              </m:r>
            </m:sub>
          </m:sSub>
          <m:r>
            <m:t>)</m:t>
          </m:r>
          <m:r>
            <m:t>)</m:t>
          </m:r>
          <m:r>
            <m:t>(</m:t>
          </m:r>
          <m:sSub>
            <m:e>
              <m:r>
                <m:t>t</m:t>
              </m:r>
            </m:e>
            <m:sub>
              <m:r>
                <m:t>r</m:t>
              </m:r>
            </m:sub>
          </m:sSub>
          <m:r>
            <m:t>−</m:t>
          </m:r>
          <m:r>
            <m:t>(</m:t>
          </m:r>
          <m:r>
            <m:t>u</m:t>
          </m:r>
          <m:r>
            <m:t>+</m:t>
          </m:r>
          <m:r>
            <m:t>d</m:t>
          </m:r>
          <m:r>
            <m:t>)</m:t>
          </m:r>
          <m:r>
            <m:t>)</m:t>
          </m:r>
          <m:sSup>
            <m:e>
              <m:r>
                <m:t>]</m:t>
              </m:r>
            </m:e>
            <m:sup>
              <m:r>
                <m:t>+</m:t>
              </m:r>
            </m:sup>
          </m:sSup>
        </m:oMath>
      </m:oMathPara>
    </w:p>
    <w:p>
      <w:pPr>
        <w:pStyle w:val="BlockText"/>
      </w:pPr>
      <w:r>
        <w:rPr>
          <w:b/>
        </w:rPr>
        <w:t xml:space="preserve">Symptomatic infections</w:t>
      </w:r>
      <w:r>
        <w:t xml:space="preserve"> </w:t>
      </w:r>
      <w:r>
        <w:t xml:space="preserve">For travelers with symptomatic infections we calculate the days at risk of community transmission separately for the presymptomatic and symptomatic disease stages. Days at risk during the presymptomatic stage are calculated the same as asymptomatic days except that the endpoint for presymptomatic days at risk is the time that symptoms begin (</w:t>
      </w:r>
      <m:oMath>
        <m:sSub>
          <m:e>
            <m:r>
              <m:t>t</m:t>
            </m:r>
          </m:e>
          <m:sub>
            <m:r>
              <m:t>s</m:t>
            </m:r>
          </m:sub>
        </m:sSub>
      </m:oMath>
      <w:r>
        <w:t xml:space="preserve">) rather than the time of recovery (</w:t>
      </w:r>
      <m:oMath>
        <m:sSub>
          <m:e>
            <m:r>
              <m:t>t</m:t>
            </m:r>
          </m:e>
          <m:sub>
            <m:r>
              <m:t>r</m:t>
            </m:r>
          </m:sub>
        </m:sSub>
      </m:oMath>
      <w:r>
        <w:t xml:space="preserve">), and we use test sensitivity for detecting disease in the presymptomatic-infectious stage (</w:t>
      </w:r>
      <m:oMath>
        <m:r>
          <m:t>S</m:t>
        </m:r>
        <m:sSub>
          <m:e>
            <m:r>
              <m:t>n</m:t>
            </m:r>
          </m:e>
          <m:sub>
            <m:r>
              <m:t>P</m:t>
            </m:r>
          </m:sub>
        </m:sSub>
      </m:oMath>
      <w:r>
        <w:t xml:space="preserve">). Therefore, the expected number of days at risk of community transmission while in presymptomatic phase without testing is:</w:t>
      </w:r>
    </w:p>
    <w:p>
      <w:pPr>
        <w:pStyle w:val="Normal"/>
      </w:pPr>
      <m:oMathPara>
        <m:oMathParaPr>
          <m:jc m:val="center"/>
        </m:oMathParaPr>
        <m:oMath>
          <m:r>
            <m:t>[</m:t>
          </m:r>
          <m:r>
            <m:t>(</m:t>
          </m:r>
          <m:r>
            <m:t>1</m:t>
          </m:r>
          <m:r>
            <m:t>−</m:t>
          </m:r>
          <m:sSub>
            <m:e>
              <m:r>
                <m:t>P</m:t>
              </m:r>
            </m:e>
            <m:sub>
              <m:r>
                <m:t>q</m:t>
              </m:r>
            </m:sub>
          </m:sSub>
          <m:r>
            <m:t>)</m:t>
          </m:r>
          <m:r>
            <m:t>(</m:t>
          </m:r>
          <m:sSub>
            <m:e>
              <m:r>
                <m:t>t</m:t>
              </m:r>
            </m:e>
            <m:sub>
              <m:r>
                <m:t>s</m:t>
              </m:r>
            </m:sub>
          </m:sSub>
          <m:r>
            <m:t>−</m:t>
          </m:r>
          <m:r>
            <m:rPr>
              <m:sty m:val="p"/>
            </m:rPr>
            <m:t>max</m:t>
          </m:r>
          <m:r>
            <m:t>(</m:t>
          </m:r>
          <m:sSub>
            <m:e>
              <m:r>
                <m:t>t</m:t>
              </m:r>
            </m:e>
            <m:sub>
              <m:r>
                <m:t>i</m:t>
              </m:r>
            </m:sub>
          </m:sSub>
          <m:r>
            <m:t>,</m:t>
          </m:r>
          <m:r>
            <m:t>u</m:t>
          </m:r>
          <m:r>
            <m:t>)</m:t>
          </m:r>
          <m:r>
            <m:t>)</m:t>
          </m:r>
          <m:sSup>
            <m:e>
              <m:r>
                <m:t>]</m:t>
              </m:r>
            </m:e>
            <m:sup>
              <m:r>
                <m:t>+</m:t>
              </m:r>
            </m:sup>
          </m:sSup>
          <m:r>
            <m:t>+</m:t>
          </m:r>
          <m:r>
            <m:t>[</m:t>
          </m:r>
          <m:sSub>
            <m:e>
              <m:r>
                <m:t>P</m:t>
              </m:r>
            </m:e>
            <m:sub>
              <m:r>
                <m:t>q</m:t>
              </m:r>
            </m:sub>
          </m:sSub>
          <m:r>
            <m:t>(</m:t>
          </m:r>
          <m:sSub>
            <m:e>
              <m:r>
                <m:t>t</m:t>
              </m:r>
            </m:e>
            <m:sub>
              <m:r>
                <m:t>s</m:t>
              </m:r>
            </m:sub>
          </m:sSub>
          <m:r>
            <m:t>−</m:t>
          </m:r>
          <m:r>
            <m:rPr>
              <m:sty m:val="p"/>
            </m:rPr>
            <m:t>max</m:t>
          </m:r>
          <m:r>
            <m:t>(</m:t>
          </m:r>
          <m:sSub>
            <m:e>
              <m:r>
                <m:t>t</m:t>
              </m:r>
            </m:e>
            <m:sub>
              <m:r>
                <m:t>i</m:t>
              </m:r>
            </m:sub>
          </m:sSub>
          <m:r>
            <m:t>,</m:t>
          </m:r>
          <m:r>
            <m:t>u</m:t>
          </m:r>
          <m:r>
            <m:t>+</m:t>
          </m:r>
          <m:r>
            <m:t>d</m:t>
          </m:r>
          <m:r>
            <m:t>)</m:t>
          </m:r>
          <m:r>
            <m:t>)</m:t>
          </m:r>
          <m:sSup>
            <m:e>
              <m:r>
                <m:t>]</m:t>
              </m:r>
            </m:e>
            <m:sup>
              <m:r>
                <m:t>+</m:t>
              </m:r>
            </m:sup>
          </m:sSup>
        </m:oMath>
      </m:oMathPara>
    </w:p>
    <w:p>
      <w:pPr>
        <w:pStyle w:val="Normal"/>
      </w:pPr>
      <w:r>
        <w:t xml:space="preserve">With testing, it becomes:</w:t>
      </w:r>
    </w:p>
    <w:p>
      <w:pPr>
        <w:pStyle w:val="BodyText"/>
      </w:pPr>
      <m:oMathPara>
        <m:oMathParaPr>
          <m:jc m:val="center"/>
        </m:oMathParaPr>
        <m:oMath>
          <m:r>
            <m:t>[</m:t>
          </m:r>
          <m:r>
            <m:t>(</m:t>
          </m:r>
          <m:r>
            <m:t>1</m:t>
          </m:r>
          <m:r>
            <m:t>−</m:t>
          </m:r>
          <m:sSub>
            <m:e>
              <m:r>
                <m:t>P</m:t>
              </m:r>
            </m:e>
            <m:sub>
              <m:r>
                <m:t>q</m:t>
              </m:r>
            </m:sub>
          </m:sSub>
          <m:r>
            <m:t>)</m:t>
          </m:r>
          <m:r>
            <m:t>(</m:t>
          </m:r>
          <m:sSub>
            <m:e>
              <m:r>
                <m:t>t</m:t>
              </m:r>
            </m:e>
            <m:sub>
              <m:r>
                <m:t>s</m:t>
              </m:r>
            </m:sub>
          </m:sSub>
          <m:r>
            <m:t>−</m:t>
          </m:r>
          <m:r>
            <m:rPr>
              <m:sty m:val="p"/>
            </m:rPr>
            <m:t>max</m:t>
          </m:r>
          <m:r>
            <m:t>(</m:t>
          </m:r>
          <m:sSub>
            <m:e>
              <m:r>
                <m:t>t</m:t>
              </m:r>
            </m:e>
            <m:sub>
              <m:r>
                <m:t>i</m:t>
              </m:r>
            </m:sub>
          </m:sSub>
          <m:r>
            <m:t>,</m:t>
          </m:r>
          <m:r>
            <m:t>u</m:t>
          </m:r>
          <m:r>
            <m:t>)</m:t>
          </m:r>
          <m:r>
            <m:t>)</m:t>
          </m:r>
          <m:sSup>
            <m:e>
              <m:r>
                <m:t>]</m:t>
              </m:r>
            </m:e>
            <m:sup>
              <m:r>
                <m:t>+</m:t>
              </m:r>
            </m:sup>
          </m:sSup>
          <m:r>
            <m:t>+</m:t>
          </m:r>
          <m:sSub>
            <m:e>
              <m:r>
                <m:t>P</m:t>
              </m:r>
            </m:e>
            <m:sub>
              <m:r>
                <m:t>q</m:t>
              </m:r>
            </m:sub>
          </m:sSub>
          <m:r>
            <m:t>[</m:t>
          </m:r>
          <m:sSub>
            <m:e>
              <m:r>
                <m:rPr>
                  <m:sty m:val="b"/>
                </m:rPr>
                <m:t>1</m:t>
              </m:r>
            </m:e>
            <m:sub>
              <m:r>
                <m:t>{</m:t>
              </m:r>
              <m:r>
                <m:t>u</m:t>
              </m:r>
              <m:r>
                <m:t>+</m:t>
              </m:r>
              <m:r>
                <m:t>d</m:t>
              </m:r>
              <m:r>
                <m:t>−</m:t>
              </m:r>
              <m:r>
                <m:t>1</m:t>
              </m:r>
              <m:r>
                <m:t>&lt;</m:t>
              </m:r>
              <m:sSub>
                <m:e>
                  <m:r>
                    <m:t>t</m:t>
                  </m:r>
                </m:e>
                <m:sub>
                  <m:r>
                    <m:t>i</m:t>
                  </m:r>
                </m:sub>
              </m:sSub>
              <m:r>
                <m:t>}</m:t>
              </m:r>
            </m:sub>
          </m:sSub>
          <m:r>
            <m:t>(</m:t>
          </m:r>
          <m:sSub>
            <m:e>
              <m:r>
                <m:t>t</m:t>
              </m:r>
            </m:e>
            <m:sub>
              <m:r>
                <m:t>s</m:t>
              </m:r>
            </m:sub>
          </m:sSub>
          <m:r>
            <m:t>−</m:t>
          </m:r>
          <m:r>
            <m:rPr>
              <m:sty m:val="p"/>
            </m:rPr>
            <m:t>max</m:t>
          </m:r>
          <m:r>
            <m:t>(</m:t>
          </m:r>
          <m:sSub>
            <m:e>
              <m:r>
                <m:t>t</m:t>
              </m:r>
            </m:e>
            <m:sub>
              <m:r>
                <m:t>i</m:t>
              </m:r>
            </m:sub>
          </m:sSub>
          <m:r>
            <m:t>,</m:t>
          </m:r>
          <m:r>
            <m:t>u</m:t>
          </m:r>
          <m:r>
            <m:t>+</m:t>
          </m:r>
          <m:r>
            <m:t>d</m:t>
          </m:r>
          <m:r>
            <m:t>)</m:t>
          </m:r>
          <m:r>
            <m:t>)</m:t>
          </m:r>
          <m:r>
            <m:t>+</m:t>
          </m:r>
          <m:sSub>
            <m:e>
              <m:r>
                <m:rPr>
                  <m:sty m:val="b"/>
                </m:rPr>
                <m:t>1</m:t>
              </m:r>
            </m:e>
            <m:sub>
              <m:r>
                <m:t>{</m:t>
              </m:r>
              <m:r>
                <m:t>u</m:t>
              </m:r>
              <m:r>
                <m:t>+</m:t>
              </m:r>
              <m:r>
                <m:t>d</m:t>
              </m:r>
              <m:r>
                <m:t>−</m:t>
              </m:r>
              <m:r>
                <m:t>1</m:t>
              </m:r>
              <m:r>
                <m:t>≥</m:t>
              </m:r>
              <m:sSub>
                <m:e>
                  <m:r>
                    <m:t>t</m:t>
                  </m:r>
                </m:e>
                <m:sub>
                  <m:r>
                    <m:t>i</m:t>
                  </m:r>
                </m:sub>
              </m:sSub>
              <m:r>
                <m:t>}</m:t>
              </m:r>
            </m:sub>
          </m:sSub>
          <m:r>
            <m:t>(</m:t>
          </m:r>
          <m:r>
            <m:t>(</m:t>
          </m:r>
          <m:r>
            <m:t>1</m:t>
          </m:r>
          <m:r>
            <m:t>−</m:t>
          </m:r>
          <m:r>
            <m:t>S</m:t>
          </m:r>
          <m:sSub>
            <m:e>
              <m:r>
                <m:t>n</m:t>
              </m:r>
            </m:e>
            <m:sub>
              <m:r>
                <m:t>P</m:t>
              </m:r>
            </m:sub>
          </m:sSub>
          <m:r>
            <m:t>)</m:t>
          </m:r>
          <m:r>
            <m:t>+</m:t>
          </m:r>
          <m:r>
            <m:t>S</m:t>
          </m:r>
          <m:sSub>
            <m:e>
              <m:r>
                <m:t>n</m:t>
              </m:r>
            </m:e>
            <m:sub>
              <m:r>
                <m:t>P</m:t>
              </m:r>
            </m:sub>
          </m:sSub>
          <m:r>
            <m:t>(</m:t>
          </m:r>
          <m:r>
            <m:t>1</m:t>
          </m:r>
          <m:r>
            <m:t>−</m:t>
          </m:r>
          <m:sSub>
            <m:e>
              <m:r>
                <m:t>P</m:t>
              </m:r>
            </m:e>
            <m:sub>
              <m:r>
                <m:t>i</m:t>
              </m:r>
              <m:r>
                <m:t>t</m:t>
              </m:r>
            </m:sub>
          </m:sSub>
          <m:r>
            <m:t>)</m:t>
          </m:r>
          <m:r>
            <m:t>)</m:t>
          </m:r>
          <m:r>
            <m:t>(</m:t>
          </m:r>
          <m:sSub>
            <m:e>
              <m:r>
                <m:t>t</m:t>
              </m:r>
            </m:e>
            <m:sub>
              <m:r>
                <m:t>s</m:t>
              </m:r>
            </m:sub>
          </m:sSub>
          <m:r>
            <m:t>−</m:t>
          </m:r>
          <m:r>
            <m:t>(</m:t>
          </m:r>
          <m:r>
            <m:t>u</m:t>
          </m:r>
          <m:r>
            <m:t>+</m:t>
          </m:r>
          <m:r>
            <m:t>d</m:t>
          </m:r>
          <m:r>
            <m:t>)</m:t>
          </m:r>
          <m:r>
            <m:t>)</m:t>
          </m:r>
          <m:sSup>
            <m:e>
              <m:r>
                <m:t>]</m:t>
              </m:r>
            </m:e>
            <m:sup>
              <m:r>
                <m:t>+</m:t>
              </m:r>
            </m:sup>
          </m:sSup>
        </m:oMath>
      </m:oMathPara>
    </w:p>
    <w:p>
      <w:pPr>
        <w:pStyle w:val="BlockText"/>
      </w:pPr>
      <w:r>
        <w:t xml:space="preserve">We assume travelers will isolate while in symptomatic-infectious stage with probability</w:t>
      </w:r>
      <w:r>
        <w:t xml:space="preserve"> </w:t>
      </w:r>
      <m:oMath>
        <m:sSub>
          <m:e>
            <m:r>
              <m:t>P</m:t>
            </m:r>
          </m:e>
          <m:sub>
            <m:r>
              <m:t>i</m:t>
            </m:r>
            <m:r>
              <m:t>s</m:t>
            </m:r>
          </m:sub>
        </m:sSub>
      </m:oMath>
      <w:r>
        <w:t xml:space="preserve">. Days at risk while symptomatic begin at</w:t>
      </w:r>
      <w:r>
        <w:t xml:space="preserve"> </w:t>
      </w:r>
      <m:oMath>
        <m:sSub>
          <m:e>
            <m:r>
              <m:t>t</m:t>
            </m:r>
          </m:e>
          <m:sub>
            <m:r>
              <m:t>s</m:t>
            </m:r>
          </m:sub>
        </m:sSub>
      </m:oMath>
      <w:r>
        <w:t xml:space="preserve">, the time symptoms begin, and end at</w:t>
      </w:r>
      <w:r>
        <w:t xml:space="preserve"> </w:t>
      </w:r>
      <m:oMath>
        <m:sSub>
          <m:e>
            <m:r>
              <m:t>t</m:t>
            </m:r>
          </m:e>
          <m:sub>
            <m:r>
              <m:t>r</m:t>
            </m:r>
          </m:sub>
        </m:sSub>
      </m:oMath>
      <w:r>
        <w:t xml:space="preserve">, the time of recovery when individuals are no longer infectious. Therefore, the expected number of days at risk of community transmission while in symptomatic phase without testing is:</w:t>
      </w:r>
    </w:p>
    <w:p>
      <w:pPr>
        <w:pStyle w:val="Normal"/>
      </w:pPr>
      <m:oMathPara>
        <m:oMathParaPr>
          <m:jc m:val="center"/>
        </m:oMathParaPr>
        <m:oMath>
          <m:r>
            <m:t>(</m:t>
          </m:r>
          <m:r>
            <m:t>1</m:t>
          </m:r>
          <m:r>
            <m:t>−</m:t>
          </m:r>
          <m:sSub>
            <m:e>
              <m:r>
                <m:t>P</m:t>
              </m:r>
            </m:e>
            <m:sub>
              <m:r>
                <m:t>i</m:t>
              </m:r>
              <m:r>
                <m:t>s</m:t>
              </m:r>
            </m:sub>
          </m:sSub>
          <m:r>
            <m:t>)</m:t>
          </m:r>
          <m:r>
            <m:t>(</m:t>
          </m:r>
          <m:r>
            <m:t>[</m:t>
          </m:r>
          <m:r>
            <m:t>(</m:t>
          </m:r>
          <m:r>
            <m:t>1</m:t>
          </m:r>
          <m:r>
            <m:t>−</m:t>
          </m:r>
          <m:sSub>
            <m:e>
              <m:r>
                <m:t>P</m:t>
              </m:r>
            </m:e>
            <m:sub>
              <m:r>
                <m:t>q</m:t>
              </m:r>
            </m:sub>
          </m:sSub>
          <m:r>
            <m:t>)</m:t>
          </m:r>
          <m:r>
            <m:t>(</m:t>
          </m:r>
          <m:sSub>
            <m:e>
              <m:r>
                <m:t>t</m:t>
              </m:r>
            </m:e>
            <m:sub>
              <m:r>
                <m:t>r</m:t>
              </m:r>
            </m:sub>
          </m:sSub>
          <m:r>
            <m:t>−</m:t>
          </m:r>
          <m:r>
            <m:rPr>
              <m:sty m:val="p"/>
            </m:rPr>
            <m:t>max</m:t>
          </m:r>
          <m:r>
            <m:t>(</m:t>
          </m:r>
          <m:sSub>
            <m:e>
              <m:r>
                <m:t>t</m:t>
              </m:r>
            </m:e>
            <m:sub>
              <m:r>
                <m:t>s</m:t>
              </m:r>
            </m:sub>
          </m:sSub>
          <m:r>
            <m:t>,</m:t>
          </m:r>
          <m:r>
            <m:t>u</m:t>
          </m:r>
          <m:r>
            <m:t>)</m:t>
          </m:r>
          <m:r>
            <m:t>)</m:t>
          </m:r>
          <m:sSup>
            <m:e>
              <m:r>
                <m:t>]</m:t>
              </m:r>
            </m:e>
            <m:sup>
              <m:r>
                <m:t>+</m:t>
              </m:r>
            </m:sup>
          </m:sSup>
          <m:r>
            <m:t>+</m:t>
          </m:r>
          <m:r>
            <m:t>[</m:t>
          </m:r>
          <m:sSub>
            <m:e>
              <m:r>
                <m:t>P</m:t>
              </m:r>
            </m:e>
            <m:sub>
              <m:r>
                <m:t>q</m:t>
              </m:r>
            </m:sub>
          </m:sSub>
          <m:r>
            <m:t>(</m:t>
          </m:r>
          <m:sSub>
            <m:e>
              <m:r>
                <m:t>t</m:t>
              </m:r>
            </m:e>
            <m:sub>
              <m:r>
                <m:t>r</m:t>
              </m:r>
            </m:sub>
          </m:sSub>
          <m:r>
            <m:t>−</m:t>
          </m:r>
          <m:r>
            <m:rPr>
              <m:sty m:val="p"/>
            </m:rPr>
            <m:t>max</m:t>
          </m:r>
          <m:r>
            <m:t>(</m:t>
          </m:r>
          <m:sSub>
            <m:e>
              <m:r>
                <m:t>t</m:t>
              </m:r>
            </m:e>
            <m:sub>
              <m:r>
                <m:t>s</m:t>
              </m:r>
            </m:sub>
          </m:sSub>
          <m:r>
            <m:t>,</m:t>
          </m:r>
          <m:r>
            <m:t>u</m:t>
          </m:r>
          <m:r>
            <m:t>+</m:t>
          </m:r>
          <m:r>
            <m:t>d</m:t>
          </m:r>
          <m:r>
            <m:t>)</m:t>
          </m:r>
          <m:r>
            <m:t>)</m:t>
          </m:r>
          <m:sSup>
            <m:e>
              <m:r>
                <m:t>]</m:t>
              </m:r>
            </m:e>
            <m:sup>
              <m:r>
                <m:t>+</m:t>
              </m:r>
            </m:sup>
          </m:sSup>
          <m:r>
            <m:t>)</m:t>
          </m:r>
        </m:oMath>
      </m:oMathPara>
    </w:p>
    <w:p>
      <w:pPr>
        <w:pStyle w:val="BlockText"/>
      </w:pPr>
      <w:r>
        <w:t xml:space="preserve">In policies with testing, we assume that the days at risk for those who do not comply with quarantine (probability</w:t>
      </w:r>
      <w:r>
        <w:t xml:space="preserve"> </w:t>
      </w:r>
      <m:oMath>
        <m:r>
          <m:t>(</m:t>
        </m:r>
        <m:r>
          <m:t>1</m:t>
        </m:r>
        <m:r>
          <m:t>−</m:t>
        </m:r>
        <m:sSub>
          <m:e>
            <m:r>
              <m:t>P</m:t>
            </m:r>
          </m:e>
          <m:sub>
            <m:r>
              <m:t>q</m:t>
            </m:r>
          </m:sub>
        </m:sSub>
        <m:r>
          <m:t>)</m:t>
        </m:r>
      </m:oMath>
      <w:r>
        <w:t xml:space="preserve">) is unchanged because they also do not get tested. For those who comply, if they are tested before infectious (</w:t>
      </w:r>
      <m:oMath>
        <m:r>
          <m:t>u</m:t>
        </m:r>
        <m:r>
          <m:t>+</m:t>
        </m:r>
        <m:r>
          <m:t>d</m:t>
        </m:r>
        <m:r>
          <m:t>−</m:t>
        </m:r>
        <m:r>
          <m:t>1</m:t>
        </m:r>
        <m:r>
          <m:t>&lt;</m:t>
        </m:r>
        <m:sSub>
          <m:e>
            <m:r>
              <m:t>t</m:t>
            </m:r>
          </m:e>
          <m:sub>
            <m:r>
              <m:t>i</m:t>
            </m:r>
          </m:sub>
        </m:sSub>
      </m:oMath>
      <w:r>
        <w:t xml:space="preserve">) then they will test negative. With probability</w:t>
      </w:r>
      <w:r>
        <w:t xml:space="preserve"> </w:t>
      </w:r>
      <m:oMath>
        <m:r>
          <m:t>1</m:t>
        </m:r>
        <m:r>
          <m:t>−</m:t>
        </m:r>
        <m:sSub>
          <m:e>
            <m:r>
              <m:t>P</m:t>
            </m:r>
          </m:e>
          <m:sub>
            <m:r>
              <m:t>i</m:t>
            </m:r>
            <m:r>
              <m:t>s</m:t>
            </m:r>
          </m:sub>
        </m:sSub>
      </m:oMath>
      <w:r>
        <w:t xml:space="preserve"> </w:t>
      </w:r>
      <w:r>
        <w:t xml:space="preserve">they will not isolate and incur days at risk until</w:t>
      </w:r>
      <w:r>
        <w:t xml:space="preserve"> </w:t>
      </w:r>
      <m:oMath>
        <m:sSub>
          <m:e>
            <m:r>
              <m:t>t</m:t>
            </m:r>
          </m:e>
          <m:sub>
            <m:r>
              <m:t>r</m:t>
            </m:r>
          </m:sub>
        </m:sSub>
      </m:oMath>
      <w:r>
        <w:t xml:space="preserve">. If tested duirng presymptomatic-infectious stage (</w:t>
      </w:r>
      <m:oMath>
        <m:sSub>
          <m:e>
            <m:r>
              <m:t>t</m:t>
            </m:r>
          </m:e>
          <m:sub>
            <m:r>
              <m:t>i</m:t>
            </m:r>
          </m:sub>
        </m:sSub>
        <m:r>
          <m:t>≤</m:t>
        </m:r>
        <m:r>
          <m:t>u</m:t>
        </m:r>
        <m:r>
          <m:t>+</m:t>
        </m:r>
        <m:r>
          <m:t>d</m:t>
        </m:r>
        <m:r>
          <m:t>−</m:t>
        </m:r>
        <m:r>
          <m:t>1</m:t>
        </m:r>
        <m:r>
          <m:t>&lt;</m:t>
        </m:r>
        <m:sSub>
          <m:e>
            <m:r>
              <m:t>t</m:t>
            </m:r>
          </m:e>
          <m:sub>
            <m:r>
              <m:t>s</m:t>
            </m:r>
          </m:sub>
        </m:sSub>
      </m:oMath>
      <w:r>
        <w:t xml:space="preserve">), they will incur days at risk while symptomatic only if they test false negative (probability</w:t>
      </w:r>
      <w:r>
        <w:t xml:space="preserve"> </w:t>
      </w:r>
      <m:oMath>
        <m:r>
          <m:t>(</m:t>
        </m:r>
        <m:r>
          <m:t>1</m:t>
        </m:r>
        <m:r>
          <m:t>−</m:t>
        </m:r>
        <m:r>
          <m:t>S</m:t>
        </m:r>
        <m:sSub>
          <m:e>
            <m:r>
              <m:t>n</m:t>
            </m:r>
          </m:e>
          <m:sub>
            <m:r>
              <m:t>P</m:t>
            </m:r>
          </m:sub>
        </m:sSub>
      </m:oMath>
      <w:r>
        <w:t xml:space="preserve">) and they do not isolate (probability</w:t>
      </w:r>
      <w:r>
        <w:t xml:space="preserve"> </w:t>
      </w:r>
      <m:oMath>
        <m:r>
          <m:t>(</m:t>
        </m:r>
        <m:r>
          <m:t>1</m:t>
        </m:r>
        <m:r>
          <m:t>−</m:t>
        </m:r>
        <m:sSub>
          <m:e>
            <m:r>
              <m:t>P</m:t>
            </m:r>
          </m:e>
          <m:sub>
            <m:r>
              <m:t>i</m:t>
            </m:r>
            <m:r>
              <m:t>s</m:t>
            </m:r>
          </m:sub>
        </m:sSub>
      </m:oMath>
      <w:r>
        <w:t xml:space="preserve">)). We assume all travelers with both symptoms and a positive test will isolate. For those tested while symptomatic, they will incur days at risk only if the test is false negative (</w:t>
      </w:r>
      <m:oMath>
        <m:r>
          <m:t>1</m:t>
        </m:r>
        <m:r>
          <m:t>−</m:t>
        </m:r>
        <m:r>
          <m:t>S</m:t>
        </m:r>
        <m:sSub>
          <m:e>
            <m:r>
              <m:t>n</m:t>
            </m:r>
          </m:e>
          <m:sub>
            <m:r>
              <m:t>S</m:t>
            </m:r>
          </m:sub>
        </m:sSub>
      </m:oMath>
      <w:r>
        <w:t xml:space="preserve"> </w:t>
      </w:r>
      <w:r>
        <w:t xml:space="preserve">where</w:t>
      </w:r>
      <w:r>
        <w:t xml:space="preserve"> </w:t>
      </w:r>
      <m:oMath>
        <m:r>
          <m:t>S</m:t>
        </m:r>
        <m:sSub>
          <m:e>
            <m:r>
              <m:t>n</m:t>
            </m:r>
          </m:e>
          <m:sub>
            <m:r>
              <m:t>S</m:t>
            </m:r>
          </m:sub>
        </m:sSub>
      </m:oMath>
      <w:r>
        <w:t xml:space="preserve"> </w:t>
      </w:r>
      <w:r>
        <w:t xml:space="preserve">is test sensitivity for those in symptomatic-infectious state). Therefore, the expected number of days at risk of community transmission while in the symptomatic-infectious phase with testing is:</w:t>
      </w:r>
    </w:p>
    <w:p>
      <w:pPr>
        <w:pStyle w:val="Normal"/>
      </w:pPr>
      <m:oMathPara>
        <m:oMathParaPr>
          <m:jc m:val="center"/>
        </m:oMathParaPr>
        <m:oMath>
          <m:r>
            <m:t>(</m:t>
          </m:r>
          <m:r>
            <m:t>1</m:t>
          </m:r>
          <m:r>
            <m:t>−</m:t>
          </m:r>
          <m:sSub>
            <m:e>
              <m:r>
                <m:t>P</m:t>
              </m:r>
            </m:e>
            <m:sub>
              <m:r>
                <m:t>i</m:t>
              </m:r>
              <m:r>
                <m:t>s</m:t>
              </m:r>
            </m:sub>
          </m:sSub>
          <m:r>
            <m:t>)</m:t>
          </m:r>
          <m:r>
            <m:t>[</m:t>
          </m:r>
          <m:r>
            <m:t>(</m:t>
          </m:r>
          <m:r>
            <m:t>1</m:t>
          </m:r>
          <m:r>
            <m:t>−</m:t>
          </m:r>
          <m:sSub>
            <m:e>
              <m:r>
                <m:t>P</m:t>
              </m:r>
            </m:e>
            <m:sub>
              <m:r>
                <m:t>q</m:t>
              </m:r>
            </m:sub>
          </m:sSub>
          <m:r>
            <m:t>)</m:t>
          </m:r>
          <m:r>
            <m:t>(</m:t>
          </m:r>
          <m:sSub>
            <m:e>
              <m:r>
                <m:t>t</m:t>
              </m:r>
            </m:e>
            <m:sub>
              <m:r>
                <m:t>r</m:t>
              </m:r>
            </m:sub>
          </m:sSub>
          <m:r>
            <m:t>−</m:t>
          </m:r>
          <m:r>
            <m:rPr>
              <m:sty m:val="p"/>
            </m:rPr>
            <m:t>max</m:t>
          </m:r>
          <m:r>
            <m:t>(</m:t>
          </m:r>
          <m:sSub>
            <m:e>
              <m:r>
                <m:t>t</m:t>
              </m:r>
            </m:e>
            <m:sub>
              <m:r>
                <m:t>s</m:t>
              </m:r>
            </m:sub>
          </m:sSub>
          <m:r>
            <m:t>,</m:t>
          </m:r>
          <m:r>
            <m:t>u</m:t>
          </m:r>
          <m:r>
            <m:t>)</m:t>
          </m:r>
          <m:r>
            <m:t>)</m:t>
          </m:r>
          <m:sSup>
            <m:e>
              <m:r>
                <m:t>]</m:t>
              </m:r>
            </m:e>
            <m:sup>
              <m:r>
                <m:t>+</m:t>
              </m:r>
            </m:sup>
          </m:sSup>
          <m:r>
            <m:t>+</m:t>
          </m:r>
          <m:sSub>
            <m:e>
              <m:r>
                <m:t>P</m:t>
              </m:r>
            </m:e>
            <m:sub>
              <m:r>
                <m:t>q</m:t>
              </m:r>
            </m:sub>
          </m:sSub>
          <m:r>
            <m:t>[</m:t>
          </m:r>
          <m:sSub>
            <m:e>
              <m:r>
                <m:rPr>
                  <m:sty m:val="b"/>
                </m:rPr>
                <m:t>1</m:t>
              </m:r>
            </m:e>
            <m:sub>
              <m:r>
                <m:t>{</m:t>
              </m:r>
              <m:r>
                <m:t>u</m:t>
              </m:r>
              <m:r>
                <m:t>+</m:t>
              </m:r>
              <m:r>
                <m:t>d</m:t>
              </m:r>
              <m:r>
                <m:t>−</m:t>
              </m:r>
              <m:r>
                <m:t>1</m:t>
              </m:r>
              <m:r>
                <m:t>&lt;</m:t>
              </m:r>
              <m:sSub>
                <m:e>
                  <m:r>
                    <m:t>t</m:t>
                  </m:r>
                </m:e>
                <m:sub>
                  <m:r>
                    <m:t>i</m:t>
                  </m:r>
                </m:sub>
              </m:sSub>
              <m:r>
                <m:t>}</m:t>
              </m:r>
            </m:sub>
          </m:sSub>
          <m:r>
            <m:t>(</m:t>
          </m:r>
          <m:sSub>
            <m:e>
              <m:r>
                <m:t>t</m:t>
              </m:r>
            </m:e>
            <m:sub>
              <m:r>
                <m:t>r</m:t>
              </m:r>
            </m:sub>
          </m:sSub>
          <m:r>
            <m:t>−</m:t>
          </m:r>
          <m:r>
            <m:rPr>
              <m:sty m:val="p"/>
            </m:rPr>
            <m:t>max</m:t>
          </m:r>
          <m:r>
            <m:t>(</m:t>
          </m:r>
          <m:sSub>
            <m:e>
              <m:r>
                <m:t>t</m:t>
              </m:r>
            </m:e>
            <m:sub>
              <m:r>
                <m:t>s</m:t>
              </m:r>
            </m:sub>
          </m:sSub>
          <m:r>
            <m:t>,</m:t>
          </m:r>
          <m:r>
            <m:t>u</m:t>
          </m:r>
          <m:r>
            <m:t>+</m:t>
          </m:r>
          <m:r>
            <m:t>d</m:t>
          </m:r>
          <m:r>
            <m:t>)</m:t>
          </m:r>
          <m:r>
            <m:t>)</m:t>
          </m:r>
          <m:r>
            <m:t>(</m:t>
          </m:r>
          <m:r>
            <m:t>1</m:t>
          </m:r>
          <m:r>
            <m:t>−</m:t>
          </m:r>
          <m:sSub>
            <m:e>
              <m:r>
                <m:t>P</m:t>
              </m:r>
            </m:e>
            <m:sub>
              <m:r>
                <m:t>i</m:t>
              </m:r>
              <m:r>
                <m:t>s</m:t>
              </m:r>
            </m:sub>
          </m:sSub>
          <m:r>
            <m:t>)</m:t>
          </m:r>
          <m:r>
            <m:t>+</m:t>
          </m:r>
          <m:sSub>
            <m:e>
              <m:r>
                <m:rPr>
                  <m:sty m:val="b"/>
                </m:rPr>
                <m:t>1</m:t>
              </m:r>
            </m:e>
            <m:sub>
              <m:r>
                <m:t>{</m:t>
              </m:r>
              <m:sSub>
                <m:e>
                  <m:r>
                    <m:t>t</m:t>
                  </m:r>
                </m:e>
                <m:sub>
                  <m:r>
                    <m:t>i</m:t>
                  </m:r>
                </m:sub>
              </m:sSub>
              <m:r>
                <m:t>≤</m:t>
              </m:r>
              <m:r>
                <m:t>u</m:t>
              </m:r>
              <m:r>
                <m:t>+</m:t>
              </m:r>
              <m:r>
                <m:t>d</m:t>
              </m:r>
              <m:r>
                <m:t>−</m:t>
              </m:r>
              <m:r>
                <m:t>1</m:t>
              </m:r>
              <m:r>
                <m:t>&lt;</m:t>
              </m:r>
              <m:sSub>
                <m:e>
                  <m:r>
                    <m:t>t</m:t>
                  </m:r>
                </m:e>
                <m:sub>
                  <m:r>
                    <m:t>s</m:t>
                  </m:r>
                </m:sub>
              </m:sSub>
              <m:r>
                <m:t>}</m:t>
              </m:r>
            </m:sub>
          </m:sSub>
          <m:r>
            <m:t>[</m:t>
          </m:r>
          <m:r>
            <m:t>(</m:t>
          </m:r>
          <m:r>
            <m:t>1</m:t>
          </m:r>
          <m:r>
            <m:t>−</m:t>
          </m:r>
          <m:r>
            <m:t>S</m:t>
          </m:r>
          <m:sSub>
            <m:e>
              <m:r>
                <m:t>n</m:t>
              </m:r>
            </m:e>
            <m:sub>
              <m:r>
                <m:t>P</m:t>
              </m:r>
            </m:sub>
          </m:sSub>
          <m:r>
            <m:t>)</m:t>
          </m:r>
          <m:r>
            <m:t>(</m:t>
          </m:r>
          <m:r>
            <m:t>1</m:t>
          </m:r>
          <m:r>
            <m:t>−</m:t>
          </m:r>
          <m:sSub>
            <m:e>
              <m:r>
                <m:t>P</m:t>
              </m:r>
            </m:e>
            <m:sub>
              <m:r>
                <m:t>i</m:t>
              </m:r>
              <m:r>
                <m:t>s</m:t>
              </m:r>
            </m:sub>
          </m:sSub>
          <m:r>
            <m:t>)</m:t>
          </m:r>
          <m:r>
            <m:t>(</m:t>
          </m:r>
          <m:sSub>
            <m:e>
              <m:r>
                <m:t>t</m:t>
              </m:r>
            </m:e>
            <m:sub>
              <m:r>
                <m:t>r</m:t>
              </m:r>
            </m:sub>
          </m:sSub>
          <m:r>
            <m:t>−</m:t>
          </m:r>
          <m:r>
            <m:rPr>
              <m:sty m:val="p"/>
            </m:rPr>
            <m:t>max</m:t>
          </m:r>
          <m:r>
            <m:t>(</m:t>
          </m:r>
          <m:sSub>
            <m:e>
              <m:r>
                <m:t>t</m:t>
              </m:r>
            </m:e>
            <m:sub>
              <m:r>
                <m:t>s</m:t>
              </m:r>
            </m:sub>
          </m:sSub>
          <m:r>
            <m:t>,</m:t>
          </m:r>
          <m:r>
            <m:t>u</m:t>
          </m:r>
          <m:r>
            <m:t>+</m:t>
          </m:r>
          <m:r>
            <m:t>d</m:t>
          </m:r>
          <m:r>
            <m:t>)</m:t>
          </m:r>
          <m:r>
            <m:t>)</m:t>
          </m:r>
          <m:r>
            <m:t>]</m:t>
          </m:r>
          <m:r>
            <m:t>+</m:t>
          </m:r>
          <m:sSub>
            <m:e>
              <m:r>
                <m:rPr>
                  <m:sty m:val="b"/>
                </m:rPr>
                <m:t>1</m:t>
              </m:r>
            </m:e>
            <m:sub>
              <m:r>
                <m:t>{</m:t>
              </m:r>
              <m:r>
                <m:t>u</m:t>
              </m:r>
              <m:r>
                <m:t>+</m:t>
              </m:r>
              <m:r>
                <m:t>d</m:t>
              </m:r>
              <m:r>
                <m:t>−</m:t>
              </m:r>
              <m:r>
                <m:t>1</m:t>
              </m:r>
              <m:r>
                <m:t>≥</m:t>
              </m:r>
              <m:r>
                <m:t>&gt;</m:t>
              </m:r>
              <m:sSub>
                <m:e>
                  <m:r>
                    <m:t>t</m:t>
                  </m:r>
                </m:e>
                <m:sub>
                  <m:r>
                    <m:t>s</m:t>
                  </m:r>
                </m:sub>
              </m:sSub>
              <m:r>
                <m:t>}</m:t>
              </m:r>
            </m:sub>
          </m:sSub>
          <m:r>
            <m:t>(</m:t>
          </m:r>
          <m:r>
            <m:t>1</m:t>
          </m:r>
          <m:r>
            <m:t>−</m:t>
          </m:r>
          <m:r>
            <m:t>S</m:t>
          </m:r>
          <m:sSub>
            <m:e>
              <m:r>
                <m:t>n</m:t>
              </m:r>
            </m:e>
            <m:sub>
              <m:r>
                <m:t>S</m:t>
              </m:r>
            </m:sub>
          </m:sSub>
          <m:r>
            <m:t>)</m:t>
          </m:r>
          <m:r>
            <m:t>(</m:t>
          </m:r>
          <m:r>
            <m:t>1</m:t>
          </m:r>
          <m:r>
            <m:t>−</m:t>
          </m:r>
          <m:sSub>
            <m:e>
              <m:r>
                <m:t>P</m:t>
              </m:r>
            </m:e>
            <m:sub>
              <m:r>
                <m:t>i</m:t>
              </m:r>
              <m:r>
                <m:t>s</m:t>
              </m:r>
            </m:sub>
          </m:sSub>
          <m:r>
            <m:t>)</m:t>
          </m:r>
          <m:r>
            <m:t>(</m:t>
          </m:r>
          <m:sSub>
            <m:e>
              <m:r>
                <m:t>t</m:t>
              </m:r>
            </m:e>
            <m:sub>
              <m:r>
                <m:t>r</m:t>
              </m:r>
            </m:sub>
          </m:sSub>
          <m:r>
            <m:t>−</m:t>
          </m:r>
          <m:r>
            <m:t>(</m:t>
          </m:r>
          <m:r>
            <m:t>u</m:t>
          </m:r>
          <m:r>
            <m:t>+</m:t>
          </m:r>
          <m:r>
            <m:t>d</m:t>
          </m:r>
          <m:r>
            <m:t>)</m:t>
          </m:r>
          <m:r>
            <m:t>)</m:t>
          </m:r>
          <m:sSup>
            <m:e>
              <m:r>
                <m:t>]</m:t>
              </m:r>
            </m:e>
            <m:sup>
              <m:r>
                <m:t>+</m:t>
              </m:r>
            </m:sup>
          </m:sSup>
        </m:oMath>
      </m:oMathPara>
    </w:p>
    <w:p>
      <w:pPr>
        <w:sectPr xmlns:w="http://schemas.openxmlformats.org/wordprocessingml/2006/main" xmlns:r="http://schemas.openxmlformats.org/officeDocument/2006/relationships" w:rsidR="00BE0790" w:rsidSect="00A42BFA">
          <w:footerReference w:type="default" r:id="rId9"/>
          <w:pgSz w:w="12240" w:h="15840" w:orient="NA"/>
          <w:pgMar w:top="1440" w:right="1440" w:bottom="1440" w:left="1440" w:header="720" w:footer="720" w:gutter="0"/>
          <w:cols xmlns:w="http://schemas.openxmlformats.org/wordprocessingml/2006/main"/>
          <w:docGrid w:linePitch="326"/>
          <w:type xmlns:w="http://schemas.openxmlformats.org/wordprocessingml/2006/main" w:val="continuous"/>
        </w:sectPr>
      </w:pPr>
    </w:p>
    <w:p>
      <w:pPr>
        <w:pStyle w:val="Compact"/>
      </w:pPr>
      <w:r>
        <w:rPr>
          <w:b/>
        </w:rPr>
        <w:t xml:space="preserve">Table S1</w:t>
      </w:r>
      <w:r>
        <w:t xml:space="preserve"> </w:t>
      </w:r>
      <w:r>
        <w:t xml:space="preserve">Expected days at risk of community transmission risk per infectious traveler for ten scenarios based on quarantine length and testing. Median and 98% credible interval provided. Abbreviations: asympt, asymptomatic; T, test used; NT, no testing used.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088"/>
        <w:tblLook w:firstRow="1" w:lastRow="0" w:firstColumn="0" w:lastColumn="0" w:noHBand="0" w:noVBand="1"/>
      </w:tblPr>
      <w:tblGrid>
        <w:gridCol w:w="1728"/>
        <w:gridCol w:w="720"/>
        <w:gridCol w:w="1728"/>
        <w:gridCol w:w="1728"/>
        <w:gridCol w:w="1728"/>
        <w:gridCol w:w="1728"/>
        <w:gridCol w:w="1728"/>
      </w:tblGrid>
      <w:tr>
        <w:trPr>
          <w:cantSplit/>
          <w:trHeight w:val="360" w:hRule="auto"/>
          <w:tblHeader/>
        </w:trPr>
        <w:tc>
          <w:tcPr>
            <w:tcBorders>
              <w:bottom w:val="single" w:sz="8" w:space="0" w:color="000000"/>
              <w:top w:val="single" w:sz="8" w:space="0" w:color="000000"/>
              <w:left w:val="single" w:sz="8" w:space="0" w:color="000000"/>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Scenario</w:t>
            </w:r>
          </w:p>
        </w:tc>
        <w:tc>
          <w:tcPr>
            <w:tcBorders>
              <w:bottom w:val="single" w:sz="8" w:space="0" w:color="000000"/>
              <w:top w:val="single" w:sz="8" w:space="0" w:color="000000"/>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Test</w:t>
            </w:r>
          </w:p>
        </w:tc>
        <w:tc>
          <w:tcPr>
            <w:tcBorders>
              <w:bottom w:val="single" w:sz="8" w:space="0" w:color="000000"/>
              <w:top w:val="single" w:sz="8" w:space="0" w:color="000000"/>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0 days</w:t>
            </w:r>
          </w:p>
        </w:tc>
        <w:tc>
          <w:tcPr>
            <w:tcBorders>
              <w:bottom w:val="single" w:sz="8" w:space="0" w:color="000000"/>
              <w:top w:val="single" w:sz="8" w:space="0" w:color="000000"/>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2 days</w:t>
            </w:r>
          </w:p>
        </w:tc>
        <w:tc>
          <w:tcPr>
            <w:tcBorders>
              <w:bottom w:val="single" w:sz="8" w:space="0" w:color="000000"/>
              <w:top w:val="single" w:sz="8" w:space="0" w:color="000000"/>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5 days</w:t>
            </w:r>
          </w:p>
        </w:tc>
        <w:tc>
          <w:tcPr>
            <w:tcBorders>
              <w:bottom w:val="single" w:sz="8" w:space="0" w:color="000000"/>
              <w:top w:val="single" w:sz="8" w:space="0" w:color="000000"/>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7 days</w:t>
            </w:r>
          </w:p>
        </w:tc>
        <w:tc>
          <w:tcPr>
            <w:tcBorders>
              <w:bottom w:val="single" w:sz="8" w:space="0" w:color="000000"/>
              <w:top w:val="single" w:sz="8" w:space="0" w:color="000000"/>
              <w:right w:val="single" w:sz="8" w:space="0" w:color="000000"/>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14 days</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Base scenario</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 (1.7 - 2.1)</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 (1.1 - 1.5)</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 (0.58 - 0.92)</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0.53 (0.43 - 0.69)</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 (0.34 - 0.44)</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 (1.5 - 1.8)</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 (0.94 - 1.3)</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0.59 (0.47 - 0.77)</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0.46 (0.38 - 0.60)</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 (0.34 - 0.43)</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All asymptomatic</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3.4 (2.8 - 4.1)</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 (1.9 - 3.2)</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 (1.0 - 2.0)</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 (0.74 - 1.4)</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 (0.56 - 0.87)</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 (2.4 - 3.5)</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 (1.6 - 2.6)</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 (0.84 - 1.6)</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 (0.65 - 1.2)</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0.69 (0.56 - 0.85)</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All symptomatic</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 (1.3 - 1.5)</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0.94 (0.80 - 1.1)</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 (0.39 - 0.62)</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0.36 (0.30 - 0.47)</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0.28 (0.26 - 0.31)</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 (1.2 - 1.4)</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0.81 (0.67 - 0.94)</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0.41 (0.33 - 0.54)</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0.33 (0.28 - 0.42)</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0.28 (0.26 - 0.31)</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17.9% asymptomatic</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 (1.6 - 1.9)</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 (1.1 - 1.4)</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 (0.53 - 0.84)</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 (0.40 - 0.63)</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0.36 (0.32 - 0.41)</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 (1.4 - 1.7)</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 (0.88 - 1.2)</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0.55 (0.44 - 0.71)</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0.43 (0.36 - 0.55)</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0.35 (0.32 - 0.40)</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30.8% asymptomatic</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 (1.8 - 2.2)</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 (1.2 - 1.7)</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0.79 (0.62 - 1.0)</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0.57 (0.46 - 0.75)</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0.41 (0.36 - 0.48)</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 (1.6 - 2.0)</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 (1.0 - 1.4)</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0.64 (0.51 - 0.84)</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0.50 (0.41 - 0.65)</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0.41 (0.36 - 0.47)</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Low compliance</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 (2.2 - 2.7)</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 (1.8 - 2.4)</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 (1.5 - 2.0)</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 (1.4 - 1.8)</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 (1.3 - 1.6)</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 (2.1 - 2.6)</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 (1.8 - 2.3)</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 (1.5 - 1.9)</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 (1.4 - 1.8)</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 (1.3 - 1.6)</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Perfect compliance</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 (1.3 - 1.7)</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 (0.71 - 1.1)</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0.31 (0.18 - 0.47)</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0.13 (0.061 - 0.26)</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0.0044 (0 - 0.030)</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 (1.1 - 1.5)</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 (0.57 - 0.92)</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0.20 (0.11 - 0.36)</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0.079 (0.029 - 0.19)</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0.0024 (0 - 0.021)</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Infected on arrival</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 (2.7 - 3.3)</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 (2.5 - 3.2)</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 (1.6 - 2.3)</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 (1.0 - 1.8)</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 (0.56 - 0.81)</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 (2.7 - 3.3)</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 (2.4 - 3.1)</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 (1.3 - 2.1)</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 (0.85 - 1.5)</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0.63 (0.56 - 0.77)</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Perfect test</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 (1.7 - 2.1)</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 (1.1 - 1.5)</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 (0.58 - 0.92)</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0.53 (0.43 - 0.69)</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 (0.34 - 0.44)</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 (1.4 - 1.7)</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0.99 (0.83 - 1.2)</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0.52 (0.41 - 0.70)</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0.43 (0.36 - 0.55)</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 (0.34 - 0.42)</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Asympt. sensitivity 30%</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 (1.7 - 2.1)</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 (1.1 - 1.5)</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 (0.58 - 0.92)</w:t>
            </w:r>
          </w:p>
        </w:tc>
        <w:tc>
          <w:tcPr>
            <w:tcBorders>
              <w:top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0.53 (0.43 - 0.69)</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 (0.34 - 0.44)</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 (1.5 - 1.9)</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 (0.96 - 1.3)</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0.61 (0.49 - 0.79)</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0.47 (0.39 - 0.61)</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 (0.34 - 0.43)</w:t>
            </w:r>
          </w:p>
        </w:tc>
      </w:tr>
    </w:tbl>
    <w:p>
      <w:pPr>
        <w:sectPr xmlns:w="http://schemas.openxmlformats.org/wordprocessingml/2006/main" xmlns:r="http://schemas.openxmlformats.org/officeDocument/2006/relationships" w:rsidR="00BE0790" w:rsidSect="00A42BFA">
          <w:footerReference w:type="default" r:id="rId9"/>
          <w:pgSz w:w="15840" w:h="12240" w:orient="landscape"/>
          <w:pgMar w:top="1440" w:right="1440" w:bottom="1440" w:left="1440" w:header="720" w:footer="720" w:gutter="0"/>
          <w:cols xmlns:w="http://schemas.openxmlformats.org/wordprocessingml/2006/main"/>
          <w:docGrid w:linePitch="326"/>
          <w:type xmlns:w="http://schemas.openxmlformats.org/wordprocessingml/2006/main" w:val="oddPage"/>
        </w:sectPr>
      </w:pPr>
    </w:p>
    <w:p>
      <w:pPr>
        <w:pStyle w:val="Heading5"/>
      </w:pPr>
      <w:bookmarkStart w:id="43" w:name="section-4"/>
      <w:bookmarkEnd w:id="43"/>
    </w:p>
    <w:p>
      <w:pPr>
        <w:pStyle w:val="Compact"/>
      </w:pPr>
      <w:r>
        <w:rPr>
          <w:b/>
        </w:rPr>
        <w:t xml:space="preserve">Figure S1:</w:t>
      </w:r>
      <w:r>
        <w:t xml:space="preserve"> </w:t>
      </w:r>
      <w:r>
        <w:t xml:space="preserve">Sample of 100 distributions for durations. Incubation time (top-left) generated using code from Lauer 2020</w:t>
      </w:r>
      <w:r>
        <w:t xml:space="preserve"> </w:t>
      </w:r>
      <w:r>
        <w:t xml:space="preserve">[</w:t>
      </w:r>
      <w:r>
        <w:t xml:space="preserve">1</w:t>
      </w:r>
      <w:r>
        <w:t xml:space="preserve">]</w:t>
      </w:r>
      <w:r>
        <w:t xml:space="preserve"> </w:t>
      </w:r>
      <w:r>
        <w:t xml:space="preserve">that generates bootstrapped posterior distributions from their parametric accelerated failure time model calibration. Other distributions generated by varying the mean and variance of distributions from Moghadas 2020</w:t>
      </w:r>
      <w:r>
        <w:t xml:space="preserve"> </w:t>
      </w:r>
      <w:r>
        <w:t xml:space="preserve">[</w:t>
      </w:r>
      <w:r>
        <w:t xml:space="preserve">2</w:t>
      </w:r>
      <w:r>
        <w:t xml:space="preserve">]</w:t>
      </w:r>
      <w:r>
        <w:t xml:space="preserve"> </w:t>
      </w:r>
      <w:r>
        <w:t xml:space="preserve">by ±20% and converting to gamma distribution parameters using the relationships</w:t>
      </w:r>
      <w:r>
        <w:t xml:space="preserve"> </w:t>
      </w:r>
      <m:oMath>
        <m:r>
          <m:t>μ</m:t>
        </m:r>
        <m:r>
          <m:t>=</m:t>
        </m:r>
        <m:r>
          <m:t>a</m:t>
        </m:r>
        <m:r>
          <m:t>b</m:t>
        </m:r>
      </m:oMath>
      <w:r>
        <w:t xml:space="preserve"> </w:t>
      </w:r>
      <w:r>
        <w:t xml:space="preserve">and</w:t>
      </w:r>
      <w:r>
        <w:t xml:space="preserve"> </w:t>
      </w:r>
      <m:oMath>
        <m:sSup>
          <m:e>
            <m:r>
              <m:t>σ</m:t>
            </m:r>
          </m:e>
          <m:sup>
            <m:r>
              <m:t>2</m:t>
            </m:r>
          </m:sup>
        </m:sSup>
        <m:r>
          <m:t>=</m:t>
        </m:r>
        <m:r>
          <m:t>a</m:t>
        </m:r>
        <m:sSup>
          <m:e>
            <m:r>
              <m:t>b</m:t>
            </m:r>
          </m:e>
          <m:sup>
            <m:r>
              <m:t>2</m:t>
            </m:r>
          </m:sup>
        </m:sSup>
      </m:oMath>
      <w:r>
        <w:t xml:space="preserve"> </w:t>
      </w:r>
      <w:r>
        <w:t xml:space="preserve">where</w:t>
      </w:r>
      <w:r>
        <w:t xml:space="preserve"> </w:t>
      </w:r>
      <m:oMath>
        <m:r>
          <m:t>μ</m:t>
        </m:r>
      </m:oMath>
      <w:r>
        <w:t xml:space="preserve"> </w:t>
      </w:r>
      <w:r>
        <w:t xml:space="preserve">and</w:t>
      </w:r>
      <w:r>
        <w:t xml:space="preserve"> </w:t>
      </w:r>
      <m:oMath>
        <m:r>
          <m:t>σ</m:t>
        </m:r>
      </m:oMath>
      <w:r>
        <w:t xml:space="preserve"> </w:t>
      </w:r>
      <w:r>
        <w:t xml:space="preserve">are the mean and variance of the gamma distribution and</w:t>
      </w:r>
      <w:r>
        <w:t xml:space="preserve"> </w:t>
      </w:r>
      <m:oMath>
        <m:r>
          <m:t>a</m:t>
        </m:r>
      </m:oMath>
      <w:r>
        <w:t xml:space="preserve"> </w:t>
      </w:r>
      <w:r>
        <w:t xml:space="preserve">and</w:t>
      </w:r>
      <w:r>
        <w:t xml:space="preserve"> </w:t>
      </w:r>
      <m:oMath>
        <m:r>
          <m:t>b</m:t>
        </m:r>
      </m:oMath>
      <w:r>
        <w:t xml:space="preserve"> </w:t>
      </w:r>
      <w:r>
        <w:t xml:space="preserve">are the shape and scale parameters.</w:t>
      </w:r>
    </w:p>
    <w:p>
      <w:pPr>
        <w:pStyle w:val="BodyText"/>
      </w:pPr>
      <w:r>
        <w:drawing>
          <wp:inline>
            <wp:extent cx="5943600" cy="5943600"/>
            <wp:effectExtent b="0" l="0" r="0" t="0"/>
            <wp:docPr descr="" title="" id="7" name="Picture"/>
            <a:graphic>
              <a:graphicData uri="http://schemas.openxmlformats.org/drawingml/2006/picture">
                <pic:pic>
                  <pic:nvPicPr>
                    <pic:cNvPr descr="figs/fig_distribution_sampling.png" id="8" name="Picture"/>
                    <pic:cNvPicPr>
                      <a:picLocks noChangeArrowheads="1" noChangeAspect="1"/>
                    </pic:cNvPicPr>
                  </pic:nvPicPr>
                  <pic:blipFill>
                    <a:blip r:embed="rId44"/>
                    <a:stretch>
                      <a:fillRect/>
                    </a:stretch>
                  </pic:blipFill>
                  <pic:spPr bwMode="auto">
                    <a:xfrm>
                      <a:off x="0" y="0"/>
                      <a:ext cx="5943600" cy="5943600"/>
                    </a:xfrm>
                    <a:prstGeom prst="rect">
                      <a:avLst/>
                    </a:prstGeom>
                    <a:noFill/>
                    <a:ln w="9525">
                      <a:noFill/>
                      <a:headEnd/>
                      <a:tailEnd/>
                    </a:ln>
                  </pic:spPr>
                </pic:pic>
              </a:graphicData>
            </a:graphic>
          </wp:inline>
        </w:drawing>
      </w:r>
    </w:p>
    <w:sectPr w:rsidR="00BE0790" w:rsidSect="00A42BFA">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AE83F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86895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F58D6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9666D0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6B0288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A2C87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0C0D2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F923AD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AA94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0296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267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3AC4025"/>
    <w:multiLevelType w:val="hybridMultilevel"/>
    <w:tmpl w:val="EDB03E1C"/>
    <w:lvl w:ilvl="0" w:tplc="28AC975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E401"/>
    <w:multiLevelType w:val="multilevel"/>
    <w:tmpl w:val="1240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FFD2A3C"/>
    <w:multiLevelType w:val="hybridMultilevel"/>
    <w:tmpl w:val="C910249A"/>
    <w:lvl w:ilvl="0" w:tplc="27AEA6C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D6EB1"/>
    <w:pPr>
      <w:keepNext/>
      <w:keepLines/>
      <w:spacing w:after="0" w:line="480" w:lineRule="auto"/>
      <w:contextualSpacing/>
      <w:outlineLvl w:val="0"/>
    </w:pPr>
    <w:rPr>
      <w:rFonts w:eastAsiaTheme="majorEastAsia" w:cstheme="majorBidi"/>
      <w:b/>
      <w:bCs/>
      <w:caps/>
      <w:sz w:val="22"/>
      <w:szCs w:val="32"/>
    </w:rPr>
  </w:style>
  <w:style w:type="paragraph" w:styleId="Heading2">
    <w:name w:val="heading 2"/>
    <w:basedOn w:val="Normal"/>
    <w:next w:val="BodyText"/>
    <w:uiPriority w:val="9"/>
    <w:unhideWhenUsed/>
    <w:qFormat/>
    <w:rsid w:val="001D6EB1"/>
    <w:pPr>
      <w:keepNext/>
      <w:keepLines/>
      <w:spacing w:after="0" w:line="480" w:lineRule="auto"/>
      <w:contextualSpacing/>
      <w:outlineLvl w:val="1"/>
    </w:pPr>
    <w:rPr>
      <w:rFonts w:eastAsiaTheme="majorEastAsia" w:cstheme="majorBidi"/>
      <w:b/>
      <w:bCs/>
      <w:sz w:val="22"/>
      <w:szCs w:val="32"/>
    </w:rPr>
  </w:style>
  <w:style w:type="paragraph" w:styleId="Heading3">
    <w:name w:val="heading 3"/>
    <w:basedOn w:val="Normal"/>
    <w:next w:val="BodyText"/>
    <w:uiPriority w:val="9"/>
    <w:unhideWhenUsed/>
    <w:qFormat/>
    <w:rsid w:val="004F67C7"/>
    <w:pPr>
      <w:keepNext/>
      <w:keepLines/>
      <w:spacing w:after="0" w:line="480" w:lineRule="auto"/>
      <w:contextualSpacing/>
      <w:outlineLvl w:val="2"/>
    </w:pPr>
    <w:rPr>
      <w:rFonts w:eastAsiaTheme="majorEastAsia" w:cstheme="majorBidi"/>
      <w:bCs/>
      <w:i/>
      <w:sz w:val="22"/>
      <w:szCs w:val="28"/>
    </w:rPr>
  </w:style>
  <w:style w:type="paragraph" w:styleId="Heading4">
    <w:name w:val="heading 4"/>
    <w:basedOn w:val="Normal"/>
    <w:next w:val="BodyText"/>
    <w:uiPriority w:val="9"/>
    <w:unhideWhenUsed/>
    <w:qFormat/>
    <w:rsid w:val="001D6EB1"/>
    <w:pPr>
      <w:keepNext/>
      <w:keepLines/>
      <w:spacing w:after="0" w:line="480" w:lineRule="auto"/>
      <w:contextualSpacing/>
      <w:jc w:val="center"/>
      <w:outlineLvl w:val="3"/>
    </w:pPr>
    <w:rPr>
      <w:rFonts w:eastAsiaTheme="majorEastAsia" w:cstheme="majorBidi"/>
      <w:bCs/>
      <w:sz w:val="22"/>
    </w:rPr>
  </w:style>
  <w:style w:type="paragraph" w:styleId="Heading5">
    <w:name w:val="heading 5"/>
    <w:basedOn w:val="Normal"/>
    <w:next w:val="BodyText"/>
    <w:uiPriority w:val="9"/>
    <w:unhideWhenUsed/>
    <w:qFormat/>
    <w:rsid w:val="00DD2FC5"/>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776866"/>
    <w:pPr>
      <w:keepNext/>
      <w:keepLines/>
      <w:spacing w:before="200" w:after="0"/>
      <w:outlineLvl w:val="5"/>
    </w:pPr>
    <w:rPr>
      <w:rFonts w:eastAsiaTheme="majorEastAsia" w:cstheme="majorBidi"/>
      <w:b/>
      <w:sz w:val="22"/>
    </w:rPr>
  </w:style>
  <w:style w:type="paragraph" w:styleId="Heading7">
    <w:name w:val="heading 7"/>
    <w:basedOn w:val="Normal"/>
    <w:next w:val="BodyText"/>
    <w:uiPriority w:val="9"/>
    <w:unhideWhenUsed/>
    <w:qFormat/>
    <w:rsid w:val="008967DE"/>
    <w:pPr>
      <w:keepNext/>
      <w:keepLines/>
      <w:spacing w:before="200" w:after="120"/>
      <w:outlineLvl w:val="6"/>
    </w:pPr>
    <w:rPr>
      <w:rFonts w:eastAsiaTheme="majorEastAsia" w:cstheme="majorBidi"/>
      <w:b/>
      <w:sz w:val="22"/>
      <w:u w:val="single"/>
    </w:rPr>
  </w:style>
  <w:style w:type="paragraph" w:styleId="Heading8">
    <w:name w:val="heading 8"/>
    <w:basedOn w:val="Normal"/>
    <w:next w:val="BodyText"/>
    <w:uiPriority w:val="9"/>
    <w:unhideWhenUsed/>
    <w:qFormat/>
    <w:rsid w:val="00FD4880"/>
    <w:pPr>
      <w:keepNext/>
      <w:keepLines/>
      <w:spacing w:before="200" w:after="0" w:line="480" w:lineRule="auto"/>
      <w:jc w:val="center"/>
      <w:outlineLvl w:val="7"/>
    </w:pPr>
    <w:rPr>
      <w:rFonts w:eastAsiaTheme="majorEastAsia" w:cstheme="majorBidi"/>
      <w:b/>
      <w:smallCaps/>
      <w:sz w:val="28"/>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F5091"/>
    <w:pPr>
      <w:spacing w:after="0" w:line="432" w:lineRule="auto"/>
      <w:contextualSpacing/>
    </w:pPr>
    <w:rPr>
      <w:sz w:val="22"/>
    </w:rPr>
  </w:style>
  <w:style w:type="paragraph" w:customStyle="1" w:styleId="FirstParagraph">
    <w:name w:val="First Paragraph"/>
    <w:basedOn w:val="BodyText"/>
    <w:next w:val="BodyText"/>
    <w:qFormat/>
    <w:rsid w:val="00A66956"/>
  </w:style>
  <w:style w:type="paragraph" w:customStyle="1" w:styleId="Compact">
    <w:name w:val="Compact"/>
    <w:basedOn w:val="BodyText"/>
    <w:qFormat/>
    <w:rsid w:val="00627127"/>
    <w:pPr>
      <w:spacing w:after="240" w:line="240" w:lineRule="auto"/>
    </w:pPr>
  </w:style>
  <w:style w:type="paragraph" w:styleId="Title">
    <w:name w:val="Title"/>
    <w:basedOn w:val="Normal"/>
    <w:next w:val="BodyText"/>
    <w:qFormat/>
    <w:rsid w:val="00CE750A"/>
    <w:pPr>
      <w:keepNext/>
      <w:keepLines/>
      <w:spacing w:before="480" w:after="240" w:line="480" w:lineRule="auto"/>
      <w:jc w:val="center"/>
    </w:pPr>
    <w:rPr>
      <w:rFonts w:eastAsiaTheme="majorEastAsia" w:cstheme="majorBidi"/>
      <w:b/>
      <w:bCs/>
      <w:smallCap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734CF"/>
    <w:pPr>
      <w:spacing w:after="80"/>
      <w:ind w:left="360" w:hanging="360"/>
    </w:pPr>
    <w:rPr>
      <w:rFonts w:ascii="Times New Roman" w:hAnsi="Times New Roman"/>
      <w:sz w:val="22"/>
    </w:rPr>
  </w:style>
  <w:style w:type="paragraph" w:styleId="BlockText">
    <w:name w:val="Block Text"/>
    <w:basedOn w:val="BodyText"/>
    <w:next w:val="BodyText"/>
    <w:uiPriority w:val="9"/>
    <w:unhideWhenUsed/>
    <w:qFormat/>
    <w:rsid w:val="00C53802"/>
    <w:pPr>
      <w:ind w:firstLine="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EB3A58"/>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F5091"/>
    <w:rPr>
      <w:sz w:val="22"/>
    </w:rPr>
  </w:style>
  <w:style w:type="paragraph" w:styleId="Header">
    <w:name w:val="header"/>
    <w:basedOn w:val="Normal"/>
    <w:link w:val="HeaderChar"/>
    <w:unhideWhenUsed/>
    <w:rsid w:val="003B2F2D"/>
    <w:pPr>
      <w:tabs>
        <w:tab w:val="center" w:pos="4680"/>
        <w:tab w:val="right" w:pos="9360"/>
      </w:tabs>
      <w:spacing w:after="0"/>
    </w:pPr>
  </w:style>
  <w:style w:type="character" w:customStyle="1" w:styleId="HeaderChar">
    <w:name w:val="Header Char"/>
    <w:basedOn w:val="DefaultParagraphFont"/>
    <w:link w:val="Header"/>
    <w:rsid w:val="003B2F2D"/>
  </w:style>
  <w:style w:type="paragraph" w:styleId="Footer">
    <w:name w:val="footer"/>
    <w:basedOn w:val="Normal"/>
    <w:link w:val="FooterChar"/>
    <w:uiPriority w:val="99"/>
    <w:unhideWhenUsed/>
    <w:rsid w:val="003B2F2D"/>
    <w:pPr>
      <w:tabs>
        <w:tab w:val="center" w:pos="4680"/>
        <w:tab w:val="right" w:pos="9360"/>
      </w:tabs>
      <w:spacing w:after="0"/>
    </w:pPr>
  </w:style>
  <w:style w:type="character" w:customStyle="1" w:styleId="FooterChar">
    <w:name w:val="Footer Char"/>
    <w:basedOn w:val="DefaultParagraphFont"/>
    <w:link w:val="Footer"/>
    <w:uiPriority w:val="99"/>
    <w:rsid w:val="003B2F2D"/>
  </w:style>
  <w:style w:type="paragraph" w:styleId="BalloonText">
    <w:name w:val="Balloon Text"/>
    <w:basedOn w:val="Normal"/>
    <w:link w:val="BalloonTextChar"/>
    <w:semiHidden/>
    <w:unhideWhenUsed/>
    <w:rsid w:val="00846B2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6B2C"/>
    <w:rPr>
      <w:rFonts w:ascii="Segoe UI" w:hAnsi="Segoe UI" w:cs="Segoe UI"/>
      <w:sz w:val="18"/>
      <w:szCs w:val="18"/>
    </w:rPr>
  </w:style>
  <w:style w:type="paragraph" w:customStyle="1" w:styleId="hiddenline">
    <w:name w:val="hidden_line"/>
    <w:basedOn w:val="Heading2"/>
    <w:qFormat/>
    <w:rsid w:val="00AD30A6"/>
    <w:pPr>
      <w:spacing w:line="240" w:lineRule="auto"/>
    </w:pPr>
    <w:rPr>
      <w:color w:val="FFFFFF" w:themeColor="background1"/>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footer" Target="footer1.xml"/><Relationship Id="rId29" Type="http://schemas.openxmlformats.org/officeDocument/2006/relationships/image" Target="media/rId29.png"/><Relationship Id="rId30" Type="http://schemas.openxmlformats.org/officeDocument/2006/relationships/image" Target="media/rId30.png"/><Relationship Id="rId31" Type="http://schemas.openxmlformats.org/officeDocument/2006/relationships/image" Target="media/rId31.png"/><Relationship Id="rId44" Type="http://schemas.openxmlformats.org/officeDocument/2006/relationships/image" Target="media/rId44.png"/><Relationship Id="rId36" Type="http://schemas.openxmlformats.org/officeDocument/2006/relationships/hyperlink" Target="https://doi.org/10.1073/pnas.2008373117" TargetMode="External"/><Relationship Id="rId34" Type="http://schemas.openxmlformats.org/officeDocument/2006/relationships/hyperlink" Target="https://doi.org/10.7326/M20-0504" TargetMode="External"/></Relationships>
</file>

<file path=word/_rels/footnotes.xml.rels><?xml version="1.0" encoding="UTF-8" standalone="yes"?>
<Relationships  xmlns="http://schemas.openxmlformats.org/package/2006/relationships"><Relationship Id="rId36" Type="http://schemas.openxmlformats.org/officeDocument/2006/relationships/hyperlink" Target="https://doi.org/10.1073/pnas.2008373117" TargetMode="External"/><Relationship Id="rId34" Type="http://schemas.openxmlformats.org/officeDocument/2006/relationships/hyperlink" Target="https://doi.org/10.7326/M20-05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1132</TotalTime>
  <Pages>2</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Effectiveness of quarantine and testing to prevent COVID-19 transmission from arriving travelers</dc:title>
  <dc:creator/>
  <cp:keywords/>
  <dcterms:created xsi:type="dcterms:W3CDTF">2020-10-16T16:38:38Z</dcterms:created>
  <dcterms:modified xsi:type="dcterms:W3CDTF">2020-10-16T12:38:39Z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COVID_quarantine_testing.bib</vt:lpwstr>
  </property>
  <property fmtid="{D5CDD505-2E9C-101B-9397-08002B2CF9AE}" pid="3" name="csl">
    <vt:lpwstr>american-medical-association-brackets.csl</vt:lpwstr>
  </property>
  <property fmtid="{D5CDD505-2E9C-101B-9397-08002B2CF9AE}" pid="4" name="header-includes">
    <vt:lpwstr/>
  </property>
  <property fmtid="{D5CDD505-2E9C-101B-9397-08002B2CF9AE}" pid="5" name="output">
    <vt:lpwstr/>
  </property>
</Properties>
</file>