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1.png" ContentType="image/png"/>
  <Override PartName="/word/media/rId48.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r>
        <w:t xml:space="preserve">438-408-7290</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BodyText"/>
      </w:pPr>
    </w:p>
    <w:p>
      <w:pPr>
        <w:pStyle w:val="Heading1"/>
      </w:pPr>
      <w:bookmarkStart w:id="24" w:name="declarations"/>
      <w:r>
        <w:t xml:space="preserve">Declarations</w:t>
      </w:r>
      <w:bookmarkEnd w:id="24"/>
    </w:p>
    <w:p>
      <w:pPr>
        <w:pStyle w:val="Normal"/>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WAR drafted the manuscript, which DLB critically revised.</w:t>
      </w:r>
    </w:p>
    <w:p>
      <w:pPr>
        <w:pStyle w:val="Heading5"/>
      </w:pPr>
      <w:bookmarkStart w:id="25" w:name="section-1"/>
      <w:bookmarkEnd w:id="25"/>
    </w:p>
    <w:p>
      <w:pPr>
        <w:pStyle w:val="Heading1"/>
      </w:pPr>
      <w:bookmarkStart w:id="26" w:name="background"/>
      <w:r>
        <w:t xml:space="preserve">Background</w:t>
      </w:r>
      <w:bookmarkEnd w:id="26"/>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A recent study estimated the number of symptomatic infections missed by active monitoring of arriving travelers, accounting for the distribution of SARS-CoV-2 incubation times</w:t>
      </w:r>
      <w:r>
        <w:t xml:space="preserve"> </w:t>
      </w:r>
      <w:r>
        <w:t xml:space="preserve">[</w:t>
      </w:r>
      <w:r>
        <w:t xml:space="preserve">1</w:t>
      </w:r>
      <w:r>
        <w:t xml:space="preserve">]</w:t>
      </w:r>
      <w:r>
        <w:t xml:space="preserve">. While informative, the applicability of this analysis to policy decisions is limited because it did not consider factors such as transmission by asymptomatic and pre-symptomatic travelers, the role of non-compliance, and the use of testing.</w:t>
      </w:r>
    </w:p>
    <w:p>
      <w:pPr>
        <w:pStyle w:val="Heading1"/>
      </w:pPr>
      <w:bookmarkStart w:id="27" w:name="objective"/>
      <w:r>
        <w:t xml:space="preserve">Objective</w:t>
      </w:r>
      <w:bookmarkEnd w:id="27"/>
    </w:p>
    <w:p>
      <w:pPr>
        <w:pStyle w:val="BlockText"/>
      </w:pPr>
      <w:r>
        <w:t xml:space="preserve">We evaluated policies of quarantine and testing of arriving travelers and examined the sensitivity of policy choices to assumptions about pre-symptomatic and asymptomatic transmission, test sensitivity, and quarantine and isolation compliance.</w:t>
      </w:r>
    </w:p>
    <w:p>
      <w:pPr>
        <w:pStyle w:val="Heading1"/>
      </w:pPr>
      <w:bookmarkStart w:id="28" w:name="methods-and-findings"/>
      <w:r>
        <w:t xml:space="preserve">Methods and findings</w:t>
      </w:r>
      <w:bookmarkEnd w:id="28"/>
    </w:p>
    <w:p>
      <w:pPr>
        <w:pStyle w:val="BlockText"/>
      </w:pPr>
      <w:r>
        <w:t xml:space="preserve">We compared policies of mandatory quarantine (0 – 14 days) alone and combined with testing. For each policy we assessed the expected number of days at risk of community transmission per infected traveler (i.e., days when a person is infectious in the community because they are not in quarantine or isolation). In the base scenario, we assumed 80% of travelers were compliant with quarantine, 80% isolated when symptomatic, 90% isolated after testing positive without symptoms, and 100% isolated after testing positive when symptomatic. For scenarios with testing we assumed antigen testing was performed 24 hours before the end of quarantine and that travelers who did not comply with quarantine were not tested. We assumed a test sensitivity of 70% in pre-symptomatic and symptomatic infectious individuals and 60% in asymptomatic-infectious individuals</w:t>
      </w:r>
      <w:r>
        <w:t xml:space="preserve"> </w:t>
      </w:r>
      <w:r>
        <w:t xml:space="preserve">[</w:t>
      </w:r>
      <w:r>
        <w:t xml:space="preserve">2</w:t>
      </w:r>
      <w:r>
        <w:t xml:space="preserve">]</w:t>
      </w:r>
      <w:r>
        <w:t xml:space="preserve">.</w:t>
      </w:r>
    </w:p>
    <w:p>
      <w:pPr>
        <w:pStyle w:val="BlockText"/>
      </w:pPr>
      <w:r>
        <w:t xml:space="preserve">We used code from Lauer 2020 to sample 1,000 bootstrapped lognormal parameters for the incubation time distribution</w:t>
      </w:r>
      <w:r>
        <w:t xml:space="preserve"> </w:t>
      </w:r>
      <w:r>
        <w:t xml:space="preserve">[</w:t>
      </w:r>
      <w:r>
        <w:t xml:space="preserve">1</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3</w:t>
      </w:r>
      <w:r>
        <w:t xml:space="preserve">]</w:t>
      </w:r>
      <w:r>
        <w:t xml:space="preserve">. We introduced uncertainty by varying the distributions’ mean and variance uniformly by ±20%, and we sampled 1000 parameter sets for each distribution (Figure S1). For each of the 1,000 sets of duration distributions, we simulated 1,000 travelers with asymptomatic infection and 6,000 travelers with symptomatic infection. We determined the time each simulated traveler first became infectious, recovered from being infectious, and first developed symptoms (only for those with symptomatic infections). We assumed that arriving travelers were equally likely to be at any point of their infection. Using expressions described in the supplement, we calculated the average days at risk across all infected travelers assuming 24% of infections were asymptomatic in the base scenario</w:t>
      </w:r>
      <w:r>
        <w:t xml:space="preserve"> </w:t>
      </w:r>
      <w:r>
        <w:t xml:space="preserve">[</w:t>
      </w:r>
      <w:r>
        <w:t xml:space="preserve">3</w:t>
      </w:r>
      <w:r>
        <w:t xml:space="preserve">]</w:t>
      </w:r>
      <w:r>
        <w:t xml:space="preserve">. All data and code are public [CITE_ZENODO].</w:t>
      </w:r>
    </w:p>
    <w:p>
      <w:pPr>
        <w:pStyle w:val="BlockText"/>
      </w:pPr>
      <w:r>
        <w:t xml:space="preserve">In the base scenario, infected travelers were at risk of community transmission 1.7 – 2.1 days on average with no intervention (Figure 1; Table S2). Assuming a prevalence of 1 active infection per 10,000 travelers and a secondary infection rate of 0.5 per person-day at risk of community transmission, this translated to 8.5 – 10.4 secondary cases per 10,000 travelers (Figure 2). Even a two-day quarantine was more effective than testing alone (1.1 – 1.5 days at risk with two-day quarantine vs. 1.5 – 1.8 with testing alone). Testing had diminishing benefit as the length of quarantine increased (reduction of 0.2, 0.06, and 0.003 days at risk for 2, 7, and 14-day quarantine, respectively). Compliance greatly influenced risk: a 14-day quarantine resulted in 1.3 - 1.6 days at risk assuming low compliance compared to 0 - 0.03 days assuming perfect compliance. If travelers were infected immediately before arriving, their days at risk would be 60% higher than the base scenario assuming no intervention, and testing without quarantine would have little benefit. At the population level, person-days at risk of secondary infection was linear in prevalence (Figure S2). We created a web application where users can customize parameter values and run the analysis [CITE_SHINYAPP]</w:t>
      </w:r>
    </w:p>
    <w:p>
      <w:pPr>
        <w:pStyle w:val="Heading1"/>
      </w:pPr>
      <w:bookmarkStart w:id="29" w:name="discussion"/>
      <w:r>
        <w:t xml:space="preserve">Discussion</w:t>
      </w:r>
      <w:bookmarkEnd w:id="29"/>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Measures to increase compliance with quarantine and isolation can significantly reduce risk. We did not consider household transmission during quarantine, a substantial risk for countries with less strict quarantine enforcement.</w:t>
      </w:r>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4086225"/>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30"/>
                    <a:stretch>
                      <a:fillRect/>
                    </a:stretch>
                  </pic:blipFill>
                  <pic:spPr bwMode="auto">
                    <a:xfrm>
                      <a:off x="0" y="0"/>
                      <a:ext cx="5943600" cy="4086225"/>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BodyText"/>
      </w:pPr>
    </w:p>
    <w:p>
      <w:pPr>
        <w:pStyle w:val="Compact"/>
      </w:pPr>
      <w:r>
        <w:rPr>
          <w:b/>
        </w:rPr>
        <w:t xml:space="preserve">Fig. 2</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1"/>
                    <a:stretch>
                      <a:fillRect/>
                    </a:stretch>
                  </pic:blipFill>
                  <pic:spPr bwMode="auto">
                    <a:xfrm>
                      <a:off x="0" y="0"/>
                      <a:ext cx="5943600" cy="2286000"/>
                    </a:xfrm>
                    <a:prstGeom prst="rect">
                      <a:avLst/>
                    </a:prstGeom>
                    <a:noFill/>
                    <a:ln w="9525">
                      <a:noFill/>
                      <a:headEnd/>
                      <a:tailEnd/>
                    </a:ln>
                  </pic:spPr>
                </pic:pic>
              </a:graphicData>
            </a:graphic>
          </wp:inline>
        </w:drawing>
      </w:r>
    </w:p>
    <w:p>
      <w:pPr>
        <w:pStyle w:val="Heading5"/>
      </w:pPr>
      <w:bookmarkStart w:id="32" w:name="section-2"/>
      <w:bookmarkEnd w:id="32"/>
    </w:p>
    <w:p>
      <w:pPr>
        <w:pStyle w:val="Heading1"/>
      </w:pPr>
      <w:bookmarkStart w:id="33" w:name="references"/>
      <w:r>
        <w:t xml:space="preserve">References</w:t>
      </w:r>
      <w:bookmarkEnd w:id="33"/>
    </w:p>
    <w:bookmarkStart w:id="40" w:name="refs"/>
    <w:bookmarkStart w:id="35"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4">
        <w:r>
          <w:rPr>
            <w:rStyle w:val="Hyperlink"/>
          </w:rPr>
          <w:t xml:space="preserve">10.7326/M20-0504</w:t>
        </w:r>
      </w:hyperlink>
    </w:p>
    <w:bookmarkEnd w:id="35"/>
    <w:bookmarkStart w:id="37"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6">
        <w:r>
          <w:rPr>
            <w:rStyle w:val="Hyperlink"/>
          </w:rPr>
          <w:t xml:space="preserve">10.1101/2020.08.09.20171355</w:t>
        </w:r>
      </w:hyperlink>
    </w:p>
    <w:bookmarkEnd w:id="37"/>
    <w:bookmarkStart w:id="39" w:name="ref-Moghadas2020"/>
    <w:p>
      <w:pPr>
        <w:pStyle w:val="Bibliography"/>
      </w:pPr>
      <w:r>
        <w:t xml:space="preserve">3.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8">
        <w:r>
          <w:rPr>
            <w:rStyle w:val="Hyperlink"/>
          </w:rPr>
          <w:t xml:space="preserve">10.1073/pnas.2008373117</w:t>
        </w:r>
      </w:hyperlink>
    </w:p>
    <w:bookmarkEnd w:id="39"/>
    <w:bookmarkEnd w:id="40"/>
    <w:p>
      <w:pPr>
        <w:pStyle w:val="Heading5"/>
      </w:pPr>
      <w:bookmarkStart w:id="41" w:name="section-3"/>
      <w:bookmarkEnd w:id="41"/>
    </w:p>
    <w:p>
      <w:pPr>
        <w:pStyle w:val="Heading8"/>
      </w:pPr>
      <w:bookmarkStart w:id="42" w:name="X2a78e02743521d9f198ca18310e62cc2cf1b1cd"/>
      <w:r>
        <w:t xml:space="preserve">Effectiveness of quarantine and testing to limit new COVID-19 cases from arriving travelers</w:t>
      </w:r>
      <w:bookmarkEnd w:id="42"/>
    </w:p>
    <w:p>
      <w:pPr>
        <w:pStyle w:val="Heading8"/>
      </w:pPr>
      <w:bookmarkStart w:id="43" w:name="supplement"/>
      <w:r>
        <w:t xml:space="preserve">Supplement</w:t>
      </w:r>
      <w:bookmarkEnd w:id="43"/>
    </w:p>
    <w:p>
      <w:pPr>
        <w:pStyle w:val="Normal"/>
      </w:pPr>
      <w:r>
        <w:t xml:space="preserve">W. Alton Russell, MS, David L. Buckeridge, MD, PhD, FRCPC</w:t>
      </w:r>
    </w:p>
    <w:p>
      <w:pPr>
        <w:pStyle w:val="BodyText"/>
      </w:pPr>
    </w:p>
    <w:p>
      <w:pPr>
        <w:pStyle w:val="Heading1"/>
      </w:pPr>
      <w:bookmarkStart w:id="44" w:name="X1f86e02b753061728ca86bf46dc4a757a5d08ce"/>
      <w:r>
        <w:t xml:space="preserve">Calculation of days at risk based on quarantine duration and testing</w:t>
      </w:r>
      <w:bookmarkEnd w:id="44"/>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(0.47 - 0.77)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 (0.38 - 0.60)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(1.3 - 1.5)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 (0.80 - 1.1)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(0.39 - 0.62)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(0.30 - 0.47)</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(1.2 - 1.4)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 (0.67 - 0.94)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(0.33 - 0.54)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 (0.28 - 0.42)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(1.1 - 1.4)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(0.53 - 0.84)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(0.40 - 0.63)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(0.32 - 0.41)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(0.88 - 1.2)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(0.44 - 0.71)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 (0.32 - 0.40)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 (0.62 - 1.0)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(0.46 - 0.75)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(0.51 - 0.84)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(0.41 - 0.65)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(2.2 - 2.7)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(1.8 - 2.4)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 (0.71 - 1.1)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 (0.18 - 0.47)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 (0.061 - 0.26)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0.0044 (0 - 0.030)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(0.57 - 0.92)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 (0.11 - 0.36)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 (0.029 - 0.19)</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 (0 - 0.021)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(2.5 - 3.2)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(1.6 - 2.3)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(0.56 - 0.81)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(2.4 - 3.1)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(1.3 - 2.1)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(0.85 - 1.5)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(0.56 - 0.77)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test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(0.83 - 1.2)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(0.41 - 0.70)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(0.96 - 1.3)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(0.49 - 0.79)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 (0.39 - 0.61)</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5"/>
      </w:pPr>
      <w:bookmarkStart w:id="45" w:name="section-4"/>
      <w:bookmarkEnd w:id="45"/>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3</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47" w:name="section-5"/>
      <w:bookmarkEnd w:id="47"/>
    </w:p>
    <w:p>
      <w:pPr>
        <w:pStyle w:val="Compact"/>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7" name="Picture"/>
            <a:graphic>
              <a:graphicData uri="http://schemas.openxmlformats.org/drawingml/2006/picture">
                <pic:pic>
                  <pic:nvPicPr>
                    <pic:cNvPr descr="figs/figS2.png" id="8" name="Picture"/>
                    <pic:cNvPicPr>
                      <a:picLocks noChangeArrowheads="1" noChangeAspect="1"/>
                    </pic:cNvPicPr>
                  </pic:nvPicPr>
                  <pic:blipFill>
                    <a:blip r:embed="rId48"/>
                    <a:stretch>
                      <a:fillRect/>
                    </a:stretch>
                  </pic:blipFill>
                  <pic:spPr bwMode="auto">
                    <a:xfrm>
                      <a:off x="0" y="0"/>
                      <a:ext cx="5943600" cy="2286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0" Type="http://schemas.openxmlformats.org/officeDocument/2006/relationships/image" Target="media/rId30.png"/>
<Relationship Id="rId31" Type="http://schemas.openxmlformats.org/officeDocument/2006/relationships/image" Target="media/rId31.png"/>
<Relationship Id="rId48" Type="http://schemas.openxmlformats.org/officeDocument/2006/relationships/image" Target="media/rId48.png"/>
<Relationship Id="rId46" Type="http://schemas.openxmlformats.org/officeDocument/2006/relationships/image" Target="media/rId46.png"/>
<Relationship Id="rId38" Type="http://schemas.openxmlformats.org/officeDocument/2006/relationships/hyperlink" Target="https://doi.org/10.1073/pnas.2008373117" TargetMode="External"/>
<Relationship Id="rId36" Type="http://schemas.openxmlformats.org/officeDocument/2006/relationships/hyperlink" Target="https://doi.org/10.1101/2020.08.09.20171355" TargetMode="External"/>
<Relationship Id="rId34"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_rels/footnotes.xml.rels><?xml version="1.0" encoding="UTF-8" standalone="yes"?>

<Relationships  xmlns="http://schemas.openxmlformats.org/package/2006/relationships">
<Relationship Id="rId38" Type="http://schemas.openxmlformats.org/officeDocument/2006/relationships/hyperlink" Target="https://doi.org/10.1073/pnas.2008373117" TargetMode="External"/>
<Relationship Id="rId36" Type="http://schemas.openxmlformats.org/officeDocument/2006/relationships/hyperlink" Target="https://doi.org/10.1101/2020.08.09.20171355" TargetMode="External"/>
<Relationship Id="rId34"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2020-10-19T20:06:40Z</dcterms:created>
  <dcterms:modified xsi:type="dcterms:W3CDTF">2020-10-19T16:06:41Z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