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2.png" ContentType="image/png"/>
  <Override PartName="/word/media/rId51.png" ContentType="image/png"/>
  <Override PartName="/word/media/rId4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Effectiveness</w:t>
      </w:r>
      <w:r>
        <w:t xml:space="preserve"> </w:t>
      </w:r>
      <w:r>
        <w:t xml:space="preserve">of</w:t>
      </w:r>
      <w:r>
        <w:t xml:space="preserve"> </w:t>
      </w:r>
      <w:r>
        <w:t xml:space="preserve">quarantine</w:t>
      </w:r>
      <w:r>
        <w:t xml:space="preserve"> </w:t>
      </w:r>
      <w:r>
        <w:t xml:space="preserve">and</w:t>
      </w:r>
      <w:r>
        <w:t xml:space="preserve"> </w:t>
      </w:r>
      <w:r>
        <w:t xml:space="preserve">testing</w:t>
      </w:r>
      <w:r>
        <w:t xml:space="preserve"> </w:t>
      </w:r>
      <w:r>
        <w:t xml:space="preserve">to</w:t>
      </w:r>
      <w:r>
        <w:t xml:space="preserve"> </w:t>
      </w:r>
      <w:r>
        <w:t xml:space="preserve">prevent</w:t>
      </w:r>
      <w:r>
        <w:t xml:space="preserve"> </w:t>
      </w:r>
      <w:r>
        <w:t xml:space="preserve">COVID-19</w:t>
      </w:r>
      <w:r>
        <w:t xml:space="preserve"> </w:t>
      </w:r>
      <w:r>
        <w:t xml:space="preserve">transmission</w:t>
      </w:r>
      <w:r>
        <w:t xml:space="preserve"> </w:t>
      </w:r>
      <w:r>
        <w:t xml:space="preserve">from</w:t>
      </w:r>
      <w:r>
        <w:t xml:space="preserve"> </w:t>
      </w:r>
      <w:r>
        <w:t xml:space="preserve">arriving</w:t>
      </w:r>
      <w:r>
        <w:t xml:space="preserve"> </w:t>
      </w:r>
      <w:r>
        <w:t xml:space="preserve">travelers</w:t>
      </w:r>
    </w:p>
    <w:p>
      <w:pPr>
        <w:pStyle w:val="Normal"/>
      </w:pPr>
    </w:p>
    <w:p>
      <w:pPr>
        <w:pStyle w:val="BodyText"/>
      </w:pPr>
      <w:r>
        <w:t xml:space="preserve">W. Alton Russell, MS</w:t>
      </w:r>
      <w:r>
        <w:rPr>
          <w:vertAlign w:val="superscript"/>
        </w:rPr>
        <w:t xml:space="preserve">1</w:t>
      </w:r>
      <w:r>
        <w:t xml:space="preserve">, David L. Buckeridge, MD, PhD, FRCPC</w:t>
      </w:r>
      <w:r>
        <w:rPr>
          <w:vertAlign w:val="superscript"/>
        </w:rPr>
        <w:t xml:space="preserve">2</w:t>
      </w:r>
    </w:p>
    <w:p>
      <w:pPr>
        <w:pStyle w:val="BodyText"/>
      </w:pPr>
    </w:p>
    <w:p>
      <w:pPr>
        <w:pStyle w:val="BodyText"/>
      </w:pPr>
      <w:r>
        <w:rPr>
          <w:vertAlign w:val="superscript"/>
        </w:rPr>
        <w:t xml:space="preserve">1</w:t>
      </w:r>
      <w:r>
        <w:t xml:space="preserve">Department of Management Science and Engineering, Stanford University, Stanford, CA, USA</w:t>
      </w:r>
    </w:p>
    <w:p>
      <w:pPr>
        <w:pStyle w:val="BodyText"/>
      </w:pPr>
      <w:r>
        <w:rPr>
          <w:vertAlign w:val="superscript"/>
        </w:rPr>
        <w:t xml:space="preserve">2</w:t>
      </w:r>
      <w:r>
        <w:t xml:space="preserve">School of Population and Global Health, McGill University, Montreal, QC, Canada</w:t>
      </w:r>
    </w:p>
    <w:p>
      <w:pPr>
        <w:pStyle w:val="BodyText"/>
      </w:pPr>
    </w:p>
    <w:p>
      <w:pPr>
        <w:pStyle w:val="Heading1"/>
      </w:pPr>
      <w:bookmarkStart w:id="20" w:name="corresponding-author"/>
      <w:r>
        <w:t xml:space="preserve">Corresponding author</w:t>
      </w:r>
      <w:bookmarkEnd w:id="20"/>
    </w:p>
    <w:p>
      <w:pPr>
        <w:pStyle w:val="Normal"/>
      </w:pPr>
      <w:r>
        <w:t xml:space="preserve">W. Alton Russell</w:t>
      </w:r>
    </w:p>
    <w:p>
      <w:pPr>
        <w:pStyle w:val="BodyText"/>
      </w:pPr>
      <w:r>
        <w:t xml:space="preserve">Department of Management Science and Engineering</w:t>
      </w:r>
    </w:p>
    <w:p>
      <w:pPr>
        <w:pStyle w:val="BodyText"/>
      </w:pPr>
      <w:r>
        <w:t xml:space="preserve">475 Via Ortega</w:t>
      </w:r>
    </w:p>
    <w:p>
      <w:pPr>
        <w:pStyle w:val="BodyText"/>
      </w:pPr>
      <w:r>
        <w:t xml:space="preserve">Stanford, CA 94305</w:t>
      </w:r>
    </w:p>
    <w:p>
      <w:pPr>
        <w:pStyle w:val="BodyText"/>
      </w:pPr>
      <w:r>
        <w:t xml:space="preserve">438-408-7290</w:t>
      </w:r>
    </w:p>
    <w:p>
      <w:pPr>
        <w:pStyle w:val="BodyText"/>
      </w:pPr>
      <w:hyperlink r:id="rId21">
        <w:r>
          <w:rPr>
            <w:rStyle w:val="Hyperlink"/>
          </w:rPr>
          <w:t xml:space="preserve">altonr@stanford.edu</w:t>
        </w:r>
      </w:hyperlink>
    </w:p>
    <w:p>
      <w:pPr>
        <w:pStyle w:val="Heading5"/>
      </w:pPr>
      <w:bookmarkStart w:id="22" w:name="section"/>
      <w:bookmarkEnd w:id="22"/>
    </w:p>
    <w:p>
      <w:pPr>
        <w:pStyle w:val="Heading1"/>
      </w:pPr>
      <w:bookmarkStart w:id="23" w:name="key-words"/>
      <w:r>
        <w:t xml:space="preserve">Key words</w:t>
      </w:r>
      <w:bookmarkEnd w:id="23"/>
    </w:p>
    <w:p>
      <w:pPr>
        <w:pStyle w:val="Normal"/>
      </w:pPr>
      <w:r>
        <w:t xml:space="preserve">SARS-CoV-2, COVID-19, travel and immigration policy, quarantine and isolation</w:t>
      </w:r>
    </w:p>
    <w:p>
      <w:pPr>
        <w:pStyle w:val="BodyText"/>
      </w:pPr>
    </w:p>
    <w:p>
      <w:pPr>
        <w:pStyle w:val="Heading1"/>
      </w:pPr>
      <w:bookmarkStart w:id="24" w:name="declarations"/>
      <w:r>
        <w:t xml:space="preserve">Declarations</w:t>
      </w:r>
      <w:bookmarkEnd w:id="24"/>
    </w:p>
    <w:p>
      <w:pPr>
        <w:pStyle w:val="Normal"/>
      </w:pPr>
      <w:r>
        <w:rPr>
          <w:b/>
        </w:rPr>
        <w:t xml:space="preserve">Funding:</w:t>
      </w:r>
      <w:r>
        <w:t xml:space="preserve"> </w:t>
      </w:r>
      <w:r>
        <w:t xml:space="preserve">WAR was supported by a Stanford Interdisciplinary Graduate Fellowship; DLB was supported by a Canada Research Chair in Health Informatics and Data Science.</w:t>
      </w:r>
    </w:p>
    <w:p>
      <w:pPr>
        <w:pStyle w:val="BodyText"/>
      </w:pPr>
      <w:r>
        <w:rPr>
          <w:b/>
        </w:rPr>
        <w:t xml:space="preserve">Conflicts:</w:t>
      </w:r>
      <w:r>
        <w:t xml:space="preserve"> </w:t>
      </w:r>
      <w:r>
        <w:t xml:space="preserve">The authors have no conflicts to disclose</w:t>
      </w:r>
    </w:p>
    <w:p>
      <w:pPr>
        <w:pStyle w:val="BodyText"/>
      </w:pPr>
      <w:r>
        <w:rPr>
          <w:b/>
        </w:rPr>
        <w:t xml:space="preserve">Ethics/Consent:</w:t>
      </w:r>
      <w:r>
        <w:t xml:space="preserve"> </w:t>
      </w:r>
      <w:r>
        <w:t xml:space="preserve">This analysis was based on public data and was exempt from institutional ethics review.</w:t>
      </w:r>
    </w:p>
    <w:p>
      <w:pPr>
        <w:pStyle w:val="BodyText"/>
      </w:pPr>
      <w:r>
        <w:rPr>
          <w:b/>
        </w:rPr>
        <w:t xml:space="preserve">Data and materials:</w:t>
      </w:r>
      <w:r>
        <w:t xml:space="preserve"> </w:t>
      </w:r>
      <w:r>
        <w:t xml:space="preserve">All data and materials have been uploaded to a public repository.</w:t>
      </w:r>
    </w:p>
    <w:p>
      <w:pPr>
        <w:pStyle w:val="BodyText"/>
      </w:pPr>
      <w:r>
        <w:rPr>
          <w:b/>
        </w:rPr>
        <w:t xml:space="preserve">Code availability:</w:t>
      </w:r>
      <w:r>
        <w:t xml:space="preserve"> </w:t>
      </w:r>
      <w:r>
        <w:t xml:space="preserve">All code has been uploaded to a public repository.</w:t>
      </w:r>
    </w:p>
    <w:p>
      <w:pPr>
        <w:pStyle w:val="BodyText"/>
      </w:pPr>
      <w:r>
        <w:rPr>
          <w:b/>
        </w:rPr>
        <w:t xml:space="preserve">Authors’ contributions:</w:t>
      </w:r>
      <w:r>
        <w:t xml:space="preserve"> </w:t>
      </w:r>
      <w:r>
        <w:t xml:space="preserve">Both authors participated in the study design and analysis. WAR drafted the manuscript, which DLB critically revised.</w:t>
      </w:r>
    </w:p>
    <w:p>
      <w:pPr>
        <w:pStyle w:val="Heading5"/>
      </w:pPr>
      <w:bookmarkStart w:id="25" w:name="section-1"/>
      <w:bookmarkEnd w:id="25"/>
    </w:p>
    <w:p>
      <w:pPr>
        <w:pStyle w:val="Heading1"/>
      </w:pPr>
      <w:bookmarkStart w:id="26" w:name="background"/>
      <w:r>
        <w:t xml:space="preserve">Background</w:t>
      </w:r>
      <w:bookmarkEnd w:id="26"/>
    </w:p>
    <w:p>
      <w:pPr>
        <w:pStyle w:val="BlockText"/>
      </w:pPr>
      <w:r>
        <w:t xml:space="preserve">COVID-19 outbreaks caused by infected arriving travelers are a concern for all countries, particularly those with low community transmission. Consequently, the approach to managing the risk of SARS-CoV-2 transmission from arriving travelers is a critical policy question. A recent study estimated the number of symptomatic infections missed by active monitoring of arriving travelers, accounting for the distribution of SARS-CoV-2 incubation times</w:t>
      </w:r>
      <w:r>
        <w:t xml:space="preserve"> </w:t>
      </w:r>
      <w:r>
        <w:t xml:space="preserve">[</w:t>
      </w:r>
      <w:r>
        <w:t xml:space="preserve">1</w:t>
      </w:r>
      <w:r>
        <w:t xml:space="preserve">]</w:t>
      </w:r>
      <w:r>
        <w:t xml:space="preserve">. While informative, the applicability of this analysis to policy decisions is limited because it did not consider factors such as transmission by asymptomatic and pre-symptomatic travelers, the role of non-compliance, and the use of testing.</w:t>
      </w:r>
    </w:p>
    <w:p>
      <w:pPr>
        <w:pStyle w:val="Heading1"/>
      </w:pPr>
      <w:bookmarkStart w:id="27" w:name="objective"/>
      <w:r>
        <w:t xml:space="preserve">Objective</w:t>
      </w:r>
      <w:bookmarkEnd w:id="27"/>
    </w:p>
    <w:p>
      <w:pPr>
        <w:pStyle w:val="BlockText"/>
      </w:pPr>
      <w:r>
        <w:t xml:space="preserve">We evaluated policies of quarantine and testing of arriving travelers and examined the sensitivity of policy choices to assumptions about pre-symptomatic and asymptomatic transmission, test sensitivity, and quarantine and isolation compliance.</w:t>
      </w:r>
    </w:p>
    <w:p>
      <w:pPr>
        <w:pStyle w:val="Heading1"/>
      </w:pPr>
      <w:bookmarkStart w:id="28" w:name="methods-and-findings"/>
      <w:r>
        <w:t xml:space="preserve">Methods and findings</w:t>
      </w:r>
      <w:bookmarkEnd w:id="28"/>
    </w:p>
    <w:p>
      <w:pPr>
        <w:pStyle w:val="BlockText"/>
      </w:pPr>
      <w:r>
        <w:t xml:space="preserve">We compared policies of mandatory quarantine (0 – 14 days) alone and combined with testing. For each policy we assessed the expected number of days at risk of community transmission per infected traveler (i.e., days when a person is infectious in the community because they are not in quarantine or isolation). In the base scenario, we assumed 80% of travelers were compliant with quarantine, 80% isolated when symptomatic, 90% isolated after testing positive without symptoms, and 100% isolated after testing positive when symptomatic. For scenarios with testing we assumed antigen testing was performed 24 hours before the end of quarantine and that travelers who did not comply with quarantine were not tested. We assumed a test sensitivity of 70% in pre-symptomatic and symptomatic infectious individuals and 60% in asymptomatic-infectious individuals</w:t>
      </w:r>
      <w:r>
        <w:t xml:space="preserve"> </w:t>
      </w:r>
      <w:r>
        <w:t xml:space="preserve">[</w:t>
      </w:r>
      <w:r>
        <w:t xml:space="preserve">2</w:t>
      </w:r>
      <w:r>
        <w:t xml:space="preserve">]</w:t>
      </w:r>
      <w:r>
        <w:t xml:space="preserve">.</w:t>
      </w:r>
    </w:p>
    <w:p>
      <w:pPr>
        <w:pStyle w:val="BlockText"/>
      </w:pPr>
      <w:r>
        <w:t xml:space="preserve">We used code from Lauer 2020 to sample 1,000 bootstrapped lognormal parameters for the incubation time distribution</w:t>
      </w:r>
      <w:r>
        <w:t xml:space="preserve"> </w:t>
      </w:r>
      <w:r>
        <w:t xml:space="preserve">[</w:t>
      </w:r>
      <w:r>
        <w:t xml:space="preserve">1</w:t>
      </w:r>
      <w:r>
        <w:t xml:space="preserve">]</w:t>
      </w:r>
      <w:r>
        <w:t xml:space="preserve">. Following Moghadas 2020, we used gamma distributions for the durations of asymptomatic-infectious, pre-symptomatic-infectious, and symptomatic-infectious phases, and we truncated the pre-symptomatic-infectious distribution from 0.8 to 3 days</w:t>
      </w:r>
      <w:r>
        <w:t xml:space="preserve"> </w:t>
      </w:r>
      <w:r>
        <w:t xml:space="preserve">[</w:t>
      </w:r>
      <w:r>
        <w:t xml:space="preserve">3</w:t>
      </w:r>
      <w:r>
        <w:t xml:space="preserve">]</w:t>
      </w:r>
      <w:r>
        <w:t xml:space="preserve">. We introduced uncertainty by varying the distributions’ mean and variance uniformly by ±20%, and we sampled 1,000 parameter sets for the duration distributions (Figure S1). For each duration parameter set, we simulated 1,000 travelers with asymptomatic infection and 6,000 travelers with symptomatic infection. We determined the time each simulated traveler first became infectious, recovered from being infectious, and first developed symptoms (only for those with symptomatic infections). We assumed that arriving travelers were equally likely to be at any point of their infection. Using expressions described in the supplement, we calculated the average days at risk across all infected travelers assuming 24% of infections were asymptomatic in the base scenario</w:t>
      </w:r>
      <w:r>
        <w:t xml:space="preserve"> </w:t>
      </w:r>
      <w:r>
        <w:t xml:space="preserve">[</w:t>
      </w:r>
      <w:r>
        <w:t xml:space="preserve">3</w:t>
      </w:r>
      <w:r>
        <w:t xml:space="preserve">]</w:t>
      </w:r>
      <w:r>
        <w:t xml:space="preserve">. We have published all data and code</w:t>
      </w:r>
      <w:r>
        <w:t xml:space="preserve"> </w:t>
      </w:r>
      <w:r>
        <w:t xml:space="preserve">[</w:t>
      </w:r>
      <w:r>
        <w:t xml:space="preserve">4</w:t>
      </w:r>
      <w:r>
        <w:t xml:space="preserve">]</w:t>
      </w:r>
      <w:r>
        <w:t xml:space="preserve">.</w:t>
      </w:r>
    </w:p>
    <w:p>
      <w:pPr>
        <w:pStyle w:val="BlockText"/>
      </w:pPr>
      <w:r>
        <w:t xml:space="preserve">In the base scenario, infected travelers were at risk of community transmission 1.7 – 2.1 days on average with no intervention (Figure 1; Table S2). Assuming a prevalence of 1 active infection per 10,000 travelers and a secondary infection rate of 0.5 per person-day at risk of community transmission, this translated to 8.5 – 10.4 secondary cases per 10,000 travelers (Figure 2). Even a two-day quarantine was more effective than testing alone (1.1 – 1.5 days at risk with two-day quarantine vs. 1.5 – 1.8 with testing alone). Testing had diminishing benefit as the length of quarantine increased (reduction of 0.2, 0.06, and 0.003 days at risk for 2, 7, and 14-day quarantine, respectively). Compliance greatly influenced risk: a 14-day quarantine resulted in 1.3 - 1.6 days at risk assuming low compliance compared to 0 - 0.03 days assuming perfect compliance. If travelers were infected immediately before arriving, their days at risk would be 60% higher than the base scenario assuming no intervention, and testing without quarantine would have little benefit. At the population level, person-days at risk of secondary infection was linear in prevalence (Figure S2). We created a web application that readers can use to interactively assess impact of parameter values on infection risk (</w:t>
      </w:r>
      <w:hyperlink r:id="rId29">
        <w:r>
          <w:rPr>
            <w:rStyle w:val="Hyperlink"/>
          </w:rPr>
          <w:t xml:space="preserve">altonrus.shinyapps.io/quarantineapp/</w:t>
        </w:r>
      </w:hyperlink>
      <w:r>
        <w:t xml:space="preserve">).</w:t>
      </w:r>
    </w:p>
    <w:p>
      <w:pPr>
        <w:pStyle w:val="Heading1"/>
      </w:pPr>
      <w:bookmarkStart w:id="30" w:name="discussion"/>
      <w:r>
        <w:t xml:space="preserve">Discussion</w:t>
      </w:r>
      <w:bookmarkEnd w:id="30"/>
    </w:p>
    <w:p>
      <w:pPr>
        <w:pStyle w:val="BlockText"/>
      </w:pPr>
      <w:r>
        <w:t xml:space="preserve">To reduce the risk of SARS-CoV-2 transmission from arriving travelers, quarantine is more effective than testing alone. Testing can add value when longer quarantine is infeasible, but the benefits of testing diminish with quarantine length. Measures to increase compliance with quarantine and isolation can significantly reduce risk. We did not consider household transmission during quarantine, a substantial risk for countries with less strict quarantine enforcement.</w:t>
      </w:r>
    </w:p>
    <w:p>
      <w:pPr>
        <w:sectPr xmlns:w="http://schemas.openxmlformats.org/wordprocessingml/2006/main" xmlns:r="http://schemas.openxmlformats.org/officeDocument/2006/relationships" w:rsidR="00BE0790" w:rsidSect="00A42BFA">
          <w:footerReference w:type="default" r:id="rId9"/>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Compact"/>
      </w:pPr>
      <w:r>
        <w:rPr>
          <w:b/>
        </w:rPr>
        <w:t xml:space="preserve">Fig. 1</w:t>
      </w:r>
      <w:r>
        <w:t xml:space="preserve"> </w:t>
      </w:r>
      <w:r>
        <w:t xml:space="preserve">Expected days at risk of community transmission risk per infectious traveler for ten scenarios. Points indicates the median and bars indicate 98% credible interval for each estimate.</w:t>
      </w:r>
      <w:r>
        <w:t xml:space="preserve"> </w:t>
      </w:r>
      <w:r>
        <w:t xml:space="preserve">“</w:t>
      </w:r>
      <w:r>
        <w:t xml:space="preserve">Low compliance</w:t>
      </w:r>
      <w:r>
        <w:t xml:space="preserve">”</w:t>
      </w:r>
      <w:r>
        <w:t xml:space="preserve"> </w:t>
      </w:r>
      <w:r>
        <w:t xml:space="preserve">scenario assumes 40% of travelers comply with quarantine, 50% isolate with symptoms or a positive test, and 70% isolate with both symptoms and a positive test. Abbreviations: asympt, asymptomatic.</w:t>
      </w:r>
    </w:p>
    <w:p>
      <w:pPr>
        <w:pStyle w:val="BodyText"/>
      </w:pPr>
      <w:r>
        <w:drawing>
          <wp:inline>
            <wp:extent cx="5943600" cy="4086225"/>
            <wp:effectExtent b="0" l="0" r="0" t="0"/>
            <wp:docPr descr="" title="" id="1" name="Picture"/>
            <a:graphic>
              <a:graphicData uri="http://schemas.openxmlformats.org/drawingml/2006/picture">
                <pic:pic>
                  <pic:nvPicPr>
                    <pic:cNvPr descr="figs/fig1.png" id="2" name="Picture"/>
                    <pic:cNvPicPr>
                      <a:picLocks noChangeArrowheads="1" noChangeAspect="1"/>
                    </pic:cNvPicPr>
                  </pic:nvPicPr>
                  <pic:blipFill>
                    <a:blip r:embed="rId31"/>
                    <a:stretch>
                      <a:fillRect/>
                    </a:stretch>
                  </pic:blipFill>
                  <pic:spPr bwMode="auto">
                    <a:xfrm>
                      <a:off x="0" y="0"/>
                      <a:ext cx="5943600" cy="4086225"/>
                    </a:xfrm>
                    <a:prstGeom prst="rect">
                      <a:avLst/>
                    </a:prstGeom>
                    <a:noFill/>
                    <a:ln w="9525">
                      <a:noFill/>
                      <a:headEnd/>
                      <a:tailEnd/>
                    </a:ln>
                  </pic:spPr>
                </pic:pic>
              </a:graphicData>
            </a:graphic>
          </wp:inline>
        </w:drawing>
      </w:r>
    </w:p>
    <w:p>
      <w:pPr>
        <w:sectPr xmlns:w="http://schemas.openxmlformats.org/wordprocessingml/2006/main" xmlns:r="http://schemas.openxmlformats.org/officeDocument/2006/relationships" w:rsidR="00BE0790" w:rsidSect="00A42BFA">
          <w:footerReference w:type="default" r:id="rId9"/>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BodyText"/>
      </w:pPr>
    </w:p>
    <w:p>
      <w:pPr>
        <w:pStyle w:val="Compact"/>
      </w:pPr>
      <w:r>
        <w:rPr>
          <w:b/>
        </w:rPr>
        <w:t xml:space="preserve">Fig. 2</w:t>
      </w:r>
      <w:r>
        <w:t xml:space="preserve"> </w:t>
      </w:r>
      <w:r>
        <w:t xml:space="preserve">Secondary cases per 10,000 travelers for each policy by expected number of secondary infections per infectious person-day in community (base scenario). Assuming SARS-CoV-2 prevalence of 1 in 1,000 travelers. Points indicates the median and bars indicate 98% credible interval for each estimate.</w:t>
      </w:r>
    </w:p>
    <w:p>
      <w:pPr>
        <w:pStyle w:val="BodyText"/>
      </w:pPr>
      <w:r>
        <w:drawing>
          <wp:inline>
            <wp:extent cx="5943600" cy="2286000"/>
            <wp:effectExtent b="0" l="0" r="0" t="0"/>
            <wp:docPr descr="" title="" id="3" name="Picture"/>
            <a:graphic>
              <a:graphicData uri="http://schemas.openxmlformats.org/drawingml/2006/picture">
                <pic:pic>
                  <pic:nvPicPr>
                    <pic:cNvPr descr="figs/fig2.png" id="4" name="Picture"/>
                    <pic:cNvPicPr>
                      <a:picLocks noChangeArrowheads="1" noChangeAspect="1"/>
                    </pic:cNvPicPr>
                  </pic:nvPicPr>
                  <pic:blipFill>
                    <a:blip r:embed="rId32"/>
                    <a:stretch>
                      <a:fillRect/>
                    </a:stretch>
                  </pic:blipFill>
                  <pic:spPr bwMode="auto">
                    <a:xfrm>
                      <a:off x="0" y="0"/>
                      <a:ext cx="5943600" cy="2286000"/>
                    </a:xfrm>
                    <a:prstGeom prst="rect">
                      <a:avLst/>
                    </a:prstGeom>
                    <a:noFill/>
                    <a:ln w="9525">
                      <a:noFill/>
                      <a:headEnd/>
                      <a:tailEnd/>
                    </a:ln>
                  </pic:spPr>
                </pic:pic>
              </a:graphicData>
            </a:graphic>
          </wp:inline>
        </w:drawing>
      </w:r>
    </w:p>
    <w:p>
      <w:pPr>
        <w:pStyle w:val="Heading5"/>
      </w:pPr>
      <w:bookmarkStart w:id="33" w:name="section-2"/>
      <w:bookmarkEnd w:id="33"/>
    </w:p>
    <w:p>
      <w:pPr>
        <w:pStyle w:val="Heading1"/>
      </w:pPr>
      <w:bookmarkStart w:id="34" w:name="references"/>
      <w:r>
        <w:t xml:space="preserve">References</w:t>
      </w:r>
      <w:bookmarkEnd w:id="34"/>
    </w:p>
    <w:bookmarkStart w:id="43" w:name="refs"/>
    <w:bookmarkStart w:id="36" w:name="ref-Lauer2020"/>
    <w:p>
      <w:pPr>
        <w:pStyle w:val="Bibliography"/>
      </w:pPr>
      <w:r>
        <w:t xml:space="preserve">1. Lauer SA, Grantz KH, Bi Q, et al. The incubation period of coronavirus disease 2019 (CoVID-19) from publicly reported confirmed cases: Estimation and application.</w:t>
      </w:r>
      <w:r>
        <w:t xml:space="preserve"> </w:t>
      </w:r>
      <w:r>
        <w:rPr>
          <w:i/>
        </w:rPr>
        <w:t xml:space="preserve">Annals of Internal Medicine</w:t>
      </w:r>
      <w:r>
        <w:t xml:space="preserve">. 2020;172(9):577-582. doi:</w:t>
      </w:r>
      <w:hyperlink r:id="rId35">
        <w:r>
          <w:rPr>
            <w:rStyle w:val="Hyperlink"/>
          </w:rPr>
          <w:t xml:space="preserve">10.7326/M20-0504</w:t>
        </w:r>
      </w:hyperlink>
    </w:p>
    <w:bookmarkEnd w:id="36"/>
    <w:bookmarkStart w:id="38" w:name="ref-Bisoffi2020"/>
    <w:p>
      <w:pPr>
        <w:pStyle w:val="Bibliography"/>
      </w:pPr>
      <w:r>
        <w:t xml:space="preserve">2. Bisoffi Z, Pomari E, Deiana M, et al. Sensitivity, specificity and predictive values of molecular and serological tests for COVID-19. A longitudinal study in emergency room.</w:t>
      </w:r>
      <w:r>
        <w:t xml:space="preserve"> </w:t>
      </w:r>
      <w:r>
        <w:rPr>
          <w:i/>
        </w:rPr>
        <w:t xml:space="preserve">medRxiv</w:t>
      </w:r>
      <w:r>
        <w:t xml:space="preserve">. 2020. doi:</w:t>
      </w:r>
      <w:hyperlink r:id="rId37">
        <w:r>
          <w:rPr>
            <w:rStyle w:val="Hyperlink"/>
          </w:rPr>
          <w:t xml:space="preserve">10.1101/2020.08.09.20171355</w:t>
        </w:r>
      </w:hyperlink>
    </w:p>
    <w:bookmarkEnd w:id="38"/>
    <w:bookmarkStart w:id="40" w:name="ref-Moghadas2020"/>
    <w:p>
      <w:pPr>
        <w:pStyle w:val="Bibliography"/>
      </w:pPr>
      <w:r>
        <w:t xml:space="preserve">3. Moghadas SM, Fitzpatrick MC, Sah P, et al. The implications of silent transmission for the control of COVID-19 outbreaks.</w:t>
      </w:r>
      <w:r>
        <w:t xml:space="preserve"> </w:t>
      </w:r>
      <w:r>
        <w:rPr>
          <w:i/>
        </w:rPr>
        <w:t xml:space="preserve">Proceedings of the National Academy of Sciences</w:t>
      </w:r>
      <w:r>
        <w:t xml:space="preserve">. 2020;117(30):17513-17515. doi:</w:t>
      </w:r>
      <w:hyperlink r:id="rId39">
        <w:r>
          <w:rPr>
            <w:rStyle w:val="Hyperlink"/>
          </w:rPr>
          <w:t xml:space="preserve">10.1073/pnas.2008373117</w:t>
        </w:r>
      </w:hyperlink>
    </w:p>
    <w:bookmarkEnd w:id="40"/>
    <w:bookmarkStart w:id="42" w:name="ref-Russell2020a"/>
    <w:p>
      <w:pPr>
        <w:pStyle w:val="Bibliography"/>
      </w:pPr>
      <w:r>
        <w:t xml:space="preserve">4. Russell WA, Buckeridge DL. Code and data repository for modeling effectiveness of quarantine and testing to prevent COVID-19 transmission from arriving travelers.</w:t>
      </w:r>
      <w:r>
        <w:t xml:space="preserve"> </w:t>
      </w:r>
      <w:r>
        <w:rPr>
          <w:i/>
        </w:rPr>
        <w:t xml:space="preserve">Zenodo</w:t>
      </w:r>
      <w:r>
        <w:t xml:space="preserve">. 2020. doi:</w:t>
      </w:r>
      <w:hyperlink r:id="rId41">
        <w:r>
          <w:rPr>
            <w:rStyle w:val="Hyperlink"/>
          </w:rPr>
          <w:t xml:space="preserve">10.5281/zenodo.4107125</w:t>
        </w:r>
      </w:hyperlink>
    </w:p>
    <w:bookmarkEnd w:id="42"/>
    <w:bookmarkEnd w:id="43"/>
    <w:p>
      <w:pPr>
        <w:pStyle w:val="Heading5"/>
      </w:pPr>
      <w:bookmarkStart w:id="44" w:name="section-3"/>
      <w:bookmarkEnd w:id="44"/>
    </w:p>
    <w:p>
      <w:pPr>
        <w:pStyle w:val="Heading8"/>
      </w:pPr>
      <w:bookmarkStart w:id="45" w:name="X2a78e02743521d9f198ca18310e62cc2cf1b1cd"/>
      <w:r>
        <w:t xml:space="preserve">Effectiveness of quarantine and testing to limit new COVID-19 cases from arriving travelers</w:t>
      </w:r>
      <w:bookmarkEnd w:id="45"/>
    </w:p>
    <w:p>
      <w:pPr>
        <w:pStyle w:val="Heading8"/>
      </w:pPr>
      <w:bookmarkStart w:id="46" w:name="supplement"/>
      <w:r>
        <w:t xml:space="preserve">Supplement</w:t>
      </w:r>
      <w:bookmarkEnd w:id="46"/>
    </w:p>
    <w:p>
      <w:pPr>
        <w:pStyle w:val="Normal"/>
      </w:pPr>
      <w:r>
        <w:t xml:space="preserve">W. Alton Russell, MS, David L. Buckeridge, MD, PhD, FRCPC</w:t>
      </w:r>
    </w:p>
    <w:p>
      <w:pPr>
        <w:pStyle w:val="BodyText"/>
      </w:pPr>
    </w:p>
    <w:p>
      <w:pPr>
        <w:pStyle w:val="Heading1"/>
      </w:pPr>
      <w:bookmarkStart w:id="47" w:name="X1f86e02b753061728ca86bf46dc4a757a5d08ce"/>
      <w:r>
        <w:t xml:space="preserve">Calculation of days at risk based on quarantine duration and testing</w:t>
      </w:r>
      <w:bookmarkEnd w:id="47"/>
    </w:p>
    <w:p>
      <w:pPr>
        <w:pStyle w:val="BlockText"/>
      </w:pPr>
      <w:r>
        <w:t xml:space="preserve">We calculated the expected number of days at risk of community transmission for each person with an active SARS-CoV-2 infection (either pre-infectious or infectious) using the expressions below. In the expressions below, time is with respect to the time of infection</w:t>
      </w:r>
      <w:r>
        <w:t xml:space="preserve"> </w:t>
      </w:r>
      <m:oMath>
        <m:sSub>
          <m:e>
            <m:r>
              <m:t>t</m:t>
            </m:r>
          </m:e>
          <m:sub>
            <m:r>
              <m:t>0</m:t>
            </m:r>
          </m:sub>
        </m:sSub>
      </m:oMath>
      <w:r>
        <w:t xml:space="preserve">.</w:t>
      </w:r>
    </w:p>
    <w:p>
      <w:pPr>
        <w:pStyle w:val="BlockText"/>
      </w:pPr>
      <w:r>
        <w:rPr>
          <w:b/>
        </w:rPr>
        <w:t xml:space="preserve">Asymptomatic infections</w:t>
      </w:r>
      <w:r>
        <w:t xml:space="preserve"> </w:t>
      </w:r>
      <w:r>
        <w:t xml:space="preserve">Travelers with asymptomatic infection comply with quarantine with probability</w:t>
      </w:r>
      <w:r>
        <w:t xml:space="preserve"> </w:t>
      </w:r>
      <m:oMath>
        <m:sSub>
          <m:e>
            <m:r>
              <m:t>P</m:t>
            </m:r>
          </m:e>
          <m:sub>
            <m:r>
              <m:t>q</m:t>
            </m:r>
          </m:sub>
        </m:sSub>
      </m:oMath>
      <w:r>
        <w:t xml:space="preserve">. If they do not comply, they will be infectious in the community from the greater of the time they become infectious (</w:t>
      </w:r>
      <m:oMath>
        <m:sSub>
          <m:e>
            <m:r>
              <m:t>t</m:t>
            </m:r>
          </m:e>
          <m:sub>
            <m:r>
              <m:t>i</m:t>
            </m:r>
          </m:sub>
        </m:sSub>
      </m:oMath>
      <w:r>
        <w:t xml:space="preserve">) and the time they arrive (</w:t>
      </w:r>
      <m:oMath>
        <m:r>
          <m:t>u</m:t>
        </m:r>
      </m:oMath>
      <w:r>
        <w:t xml:space="preserve">), and their</w:t>
      </w:r>
      <w:r>
        <w:t xml:space="preserve"> </w:t>
      </w:r>
      <w:r>
        <w:t xml:space="preserve">“</w:t>
      </w:r>
      <w:r>
        <w:t xml:space="preserve">infectious days in community</w:t>
      </w:r>
      <w:r>
        <w:t xml:space="preserve">”</w:t>
      </w:r>
      <w:r>
        <w:t xml:space="preserve"> </w:t>
      </w:r>
      <w:r>
        <w:t xml:space="preserve">will end when they recover,</w:t>
      </w:r>
      <w:r>
        <w:t xml:space="preserve"> </w:t>
      </w:r>
      <m:oMath>
        <m:sSub>
          <m:e>
            <m:r>
              <m:t>t</m:t>
            </m:r>
          </m:e>
          <m:sub>
            <m:r>
              <m:t>r</m:t>
            </m:r>
          </m:sub>
        </m:sSub>
      </m:oMath>
      <w:r>
        <w:t xml:space="preserve">. If they comply with quarantine, their infectious days will begin at the greater of</w:t>
      </w:r>
      <w:r>
        <w:t xml:space="preserve"> </w:t>
      </w:r>
      <m:oMath>
        <m:sSub>
          <m:e>
            <m:r>
              <m:t>t</m:t>
            </m:r>
          </m:e>
          <m:sub>
            <m:r>
              <m:t>i</m:t>
            </m:r>
          </m:sub>
        </m:sSub>
      </m:oMath>
      <w:r>
        <w:t xml:space="preserve"> </w:t>
      </w:r>
      <w:r>
        <w:t xml:space="preserve">and quarantine ends, represented by</w:t>
      </w:r>
      <w:r>
        <w:t xml:space="preserve"> </w:t>
      </w:r>
      <m:oMath>
        <m:r>
          <m:t>u</m:t>
        </m:r>
        <m:r>
          <m:t>+</m:t>
        </m:r>
        <m:r>
          <m:t>d</m:t>
        </m:r>
      </m:oMath>
      <w:r>
        <w:t xml:space="preserve">. Therefore, the expected number of days at risk of community transmission for asymptomatic individuals without testing is:</w:t>
      </w:r>
    </w:p>
    <w:p>
      <w:pPr>
        <w:pStyle w:val="Normal"/>
      </w:pPr>
      <m:oMathPara>
        <m:oMathParaPr>
          <m:jc m:val="center"/>
        </m:oMathParaPr>
        <m:oMath>
          <m:r>
            <m:t>[</m:t>
          </m:r>
          <m:r>
            <m:t>(</m:t>
          </m:r>
          <m:r>
            <m:t>1</m:t>
          </m:r>
          <m:r>
            <m:t>−</m:t>
          </m:r>
          <m:sSub>
            <m:e>
              <m:r>
                <m:t>P</m:t>
              </m:r>
            </m:e>
            <m:sub>
              <m:r>
                <m:t>q</m:t>
              </m:r>
            </m:sub>
          </m:sSub>
          <m:r>
            <m:t>)</m:t>
          </m:r>
          <m:r>
            <m:t>(</m:t>
          </m:r>
          <m:sSub>
            <m:e>
              <m:r>
                <m:t>t</m:t>
              </m:r>
            </m:e>
            <m:sub>
              <m:r>
                <m:t>r</m:t>
              </m:r>
            </m:sub>
          </m:sSub>
          <m:r>
            <m:t>−</m:t>
          </m:r>
          <m:r>
            <m:rPr>
              <m:sty m:val="p"/>
            </m:rPr>
            <m:t>max</m:t>
          </m:r>
          <m:r>
            <m:t>(</m:t>
          </m:r>
          <m:sSub>
            <m:e>
              <m:r>
                <m:t>t</m:t>
              </m:r>
            </m:e>
            <m:sub>
              <m:r>
                <m:t>i</m:t>
              </m:r>
            </m:sub>
          </m:sSub>
          <m:r>
            <m:t>,</m:t>
          </m:r>
          <m:r>
            <m:t>u</m:t>
          </m:r>
          <m:r>
            <m:t>)</m:t>
          </m:r>
          <m:r>
            <m:t>)</m:t>
          </m:r>
          <m:sSup>
            <m:e>
              <m:r>
                <m:t>]</m:t>
              </m:r>
            </m:e>
            <m:sup>
              <m:r>
                <m:t>+</m:t>
              </m:r>
            </m:sup>
          </m:sSup>
          <m:r>
            <m:t>+</m:t>
          </m:r>
          <m:r>
            <m:t>[</m:t>
          </m:r>
          <m:sSub>
            <m:e>
              <m:r>
                <m:t>P</m:t>
              </m:r>
            </m:e>
            <m:sub>
              <m:r>
                <m:t>q</m:t>
              </m:r>
            </m:sub>
          </m:sSub>
          <m:r>
            <m:t>(</m:t>
          </m:r>
          <m:sSub>
            <m:e>
              <m:r>
                <m:t>t</m:t>
              </m:r>
            </m:e>
            <m:sub>
              <m:r>
                <m:t>r</m:t>
              </m:r>
            </m:sub>
          </m:sSub>
          <m:r>
            <m:t>−</m:t>
          </m:r>
          <m:r>
            <m:rPr>
              <m:sty m:val="p"/>
            </m:rPr>
            <m:t>max</m:t>
          </m:r>
          <m:r>
            <m:t>(</m:t>
          </m:r>
          <m:sSub>
            <m:e>
              <m:r>
                <m:t>t</m:t>
              </m:r>
            </m:e>
            <m:sub>
              <m:r>
                <m:t>i</m:t>
              </m:r>
            </m:sub>
          </m:sSub>
          <m:r>
            <m:t>,</m:t>
          </m:r>
          <m:r>
            <m:t>u</m:t>
          </m:r>
          <m:r>
            <m:t>+</m:t>
          </m:r>
          <m:r>
            <m:t>d</m:t>
          </m:r>
          <m:r>
            <m:t>)</m:t>
          </m:r>
          <m:r>
            <m:t>)</m:t>
          </m:r>
          <m:sSup>
            <m:e>
              <m:r>
                <m:t>]</m:t>
              </m:r>
            </m:e>
            <m:sup>
              <m:r>
                <m:t>+</m:t>
              </m:r>
            </m:sup>
          </m:sSup>
        </m:oMath>
      </m:oMathPara>
    </w:p>
    <w:p>
      <w:pPr>
        <w:pStyle w:val="BlockText"/>
      </w:pPr>
      <w:r>
        <w:t xml:space="preserve">In policies with testing, we assume those who do not comply with quarantine also do not receive testing. Those who are compliant are tested 1 day before quarantine end (</w:t>
      </w:r>
      <m:oMath>
        <m:r>
          <m:t>u</m:t>
        </m:r>
        <m:r>
          <m:t>+</m:t>
        </m:r>
        <m:r>
          <m:t>d</m:t>
        </m:r>
        <m:r>
          <m:t>−</m:t>
        </m:r>
        <m:r>
          <m:t>1</m:t>
        </m:r>
      </m:oMath>
      <w:r>
        <w:t xml:space="preserve">). If they are tested before becoming infectious (</w:t>
      </w:r>
      <m:oMath>
        <m:r>
          <m:t>u</m:t>
        </m:r>
        <m:r>
          <m:t>+</m:t>
        </m:r>
        <m:r>
          <m:t>d</m:t>
        </m:r>
        <m:r>
          <m:t>−</m:t>
        </m:r>
        <m:r>
          <m:t>1</m:t>
        </m:r>
        <m:r>
          <m:t>&lt;</m:t>
        </m:r>
        <m:sSub>
          <m:e>
            <m:r>
              <m:t>t</m:t>
            </m:r>
          </m:e>
          <m:sub>
            <m:r>
              <m:t>i</m:t>
            </m:r>
          </m:sub>
        </m:sSub>
      </m:oMath>
      <w:r>
        <w:t xml:space="preserve">) they will test negative and be at risk of community transmission from the greater of</w:t>
      </w:r>
      <w:r>
        <w:t xml:space="preserve"> </w:t>
      </w:r>
      <m:oMath>
        <m:sSub>
          <m:e>
            <m:r>
              <m:t>t</m:t>
            </m:r>
          </m:e>
          <m:sub>
            <m:r>
              <m:t>i</m:t>
            </m:r>
          </m:sub>
        </m:sSub>
      </m:oMath>
      <w:r>
        <w:t xml:space="preserve"> </w:t>
      </w:r>
      <w:r>
        <w:t xml:space="preserve">and</w:t>
      </w:r>
      <w:r>
        <w:t xml:space="preserve"> </w:t>
      </w:r>
      <m:oMath>
        <m:r>
          <m:t>d</m:t>
        </m:r>
        <m:r>
          <m:t>+</m:t>
        </m:r>
        <m:r>
          <m:t>u</m:t>
        </m:r>
      </m:oMath>
      <w:r>
        <w:t xml:space="preserve"> </w:t>
      </w:r>
      <w:r>
        <w:t xml:space="preserve">until</w:t>
      </w:r>
      <w:r>
        <w:t xml:space="preserve"> </w:t>
      </w:r>
      <m:oMath>
        <m:sSub>
          <m:e>
            <m:r>
              <m:t>t</m:t>
            </m:r>
          </m:e>
          <m:sub>
            <m:r>
              <m:t>r</m:t>
            </m:r>
          </m:sub>
        </m:sSub>
      </m:oMath>
      <w:r>
        <w:t xml:space="preserve">. If they are tested while infectious, they will only be at risk of community transmission if they test false-negative (probability</w:t>
      </w:r>
      <w:r>
        <w:t xml:space="preserve"> </w:t>
      </w:r>
      <m:oMath>
        <m:r>
          <m:t>1</m:t>
        </m:r>
        <m:r>
          <m:t>−</m:t>
        </m:r>
        <m:r>
          <m:t>S</m:t>
        </m:r>
        <m:sSub>
          <m:e>
            <m:r>
              <m:t>n</m:t>
            </m:r>
          </m:e>
          <m:sub>
            <m:r>
              <m:t>A</m:t>
            </m:r>
          </m:sub>
        </m:sSub>
      </m:oMath>
      <w:r>
        <w:t xml:space="preserve"> </w:t>
      </w:r>
      <w:r>
        <w:t xml:space="preserve">where</w:t>
      </w:r>
      <w:r>
        <w:t xml:space="preserve"> </w:t>
      </w:r>
      <m:oMath>
        <m:r>
          <m:t>S</m:t>
        </m:r>
        <m:sSub>
          <m:e>
            <m:r>
              <m:t>n</m:t>
            </m:r>
          </m:e>
          <m:sub>
            <m:r>
              <m:t>A</m:t>
            </m:r>
          </m:sub>
        </m:sSub>
      </m:oMath>
      <w:r>
        <w:t xml:space="preserve"> </w:t>
      </w:r>
      <w:r>
        <w:t xml:space="preserve">is test sensitivity during the asymptomatic-infectious stage) or if they test positive but refuse to quarantine (</w:t>
      </w:r>
      <m:oMath>
        <m:r>
          <m:t>S</m:t>
        </m:r>
        <m:sSub>
          <m:e>
            <m:r>
              <m:t>n</m:t>
            </m:r>
          </m:e>
          <m:sub>
            <m:r>
              <m:t>A</m:t>
            </m:r>
          </m:sub>
        </m:sSub>
        <m:r>
          <m:t>(</m:t>
        </m:r>
        <m:r>
          <m:t>1</m:t>
        </m:r>
        <m:r>
          <m:t>−</m:t>
        </m:r>
        <m:sSub>
          <m:e>
            <m:r>
              <m:t>P</m:t>
            </m:r>
          </m:e>
          <m:sub>
            <m:r>
              <m:t>i</m:t>
            </m:r>
            <m:r>
              <m:t>t</m:t>
            </m:r>
          </m:sub>
        </m:sSub>
        <m:r>
          <m:t>)</m:t>
        </m:r>
      </m:oMath>
      <w:r>
        <w:t xml:space="preserve"> </w:t>
      </w:r>
      <w:r>
        <w:t xml:space="preserve">where</w:t>
      </w:r>
      <w:r>
        <w:t xml:space="preserve"> </w:t>
      </w:r>
      <m:oMath>
        <m:sSub>
          <m:e>
            <m:r>
              <m:t>P</m:t>
            </m:r>
          </m:e>
          <m:sub>
            <m:r>
              <m:t>i</m:t>
            </m:r>
            <m:r>
              <m:t>t</m:t>
            </m:r>
          </m:sub>
        </m:sSub>
      </m:oMath>
      <w:r>
        <w:t xml:space="preserve"> </w:t>
      </w:r>
      <w:r>
        <w:t xml:space="preserve">is probability of isolation given a positive test and no symptoms). Therefore, the expected number of days at risk of community transmission for asymptomatic individuals with testing is:</w:t>
      </w:r>
    </w:p>
    <w:p>
      <w:pPr>
        <w:pStyle w:val="Normal"/>
      </w:pPr>
      <m:oMathPara>
        <m:oMathParaPr>
          <m:jc m:val="center"/>
        </m:oMathParaPr>
        <m:oMath>
          <m:r>
            <m:t>[</m:t>
          </m:r>
          <m:r>
            <m:t>(</m:t>
          </m:r>
          <m:r>
            <m:t>1</m:t>
          </m:r>
          <m:r>
            <m:t>−</m:t>
          </m:r>
          <m:sSub>
            <m:e>
              <m:r>
                <m:t>P</m:t>
              </m:r>
            </m:e>
            <m:sub>
              <m:r>
                <m:t>q</m:t>
              </m:r>
            </m:sub>
          </m:sSub>
          <m:r>
            <m:t>)</m:t>
          </m:r>
          <m:r>
            <m:t>(</m:t>
          </m:r>
          <m:sSub>
            <m:e>
              <m:r>
                <m:t>t</m:t>
              </m:r>
            </m:e>
            <m:sub>
              <m:r>
                <m:t>r</m:t>
              </m:r>
            </m:sub>
          </m:sSub>
          <m:r>
            <m:t>−</m:t>
          </m:r>
          <m:r>
            <m:rPr>
              <m:sty m:val="p"/>
            </m:rPr>
            <m:t>max</m:t>
          </m:r>
          <m:r>
            <m:t>(</m:t>
          </m:r>
          <m:sSub>
            <m:e>
              <m:r>
                <m:t>t</m:t>
              </m:r>
            </m:e>
            <m:sub>
              <m:r>
                <m:t>i</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i</m:t>
              </m:r>
            </m:sub>
          </m:sSub>
          <m:r>
            <m:t>,</m:t>
          </m:r>
          <m:r>
            <m:t>d</m:t>
          </m:r>
          <m:r>
            <m:t>+</m:t>
          </m:r>
          <m:r>
            <m:t>u</m:t>
          </m:r>
          <m:r>
            <m:t>)</m:t>
          </m:r>
          <m:r>
            <m:t>)</m:t>
          </m:r>
          <m:r>
            <m:t>+</m:t>
          </m:r>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A</m:t>
              </m:r>
            </m:sub>
          </m:sSub>
          <m:r>
            <m:t>)</m:t>
          </m:r>
          <m:r>
            <m:t>+</m:t>
          </m:r>
          <m:r>
            <m:t>S</m:t>
          </m:r>
          <m:sSub>
            <m:e>
              <m:r>
                <m:t>n</m:t>
              </m:r>
            </m:e>
            <m:sub>
              <m:r>
                <m:t>A</m:t>
              </m:r>
            </m:sub>
          </m:sSub>
          <m:r>
            <m:t>(</m:t>
          </m:r>
          <m:r>
            <m:t>1</m:t>
          </m:r>
          <m:r>
            <m:t>−</m:t>
          </m:r>
          <m:sSub>
            <m:e>
              <m:r>
                <m:t>P</m:t>
              </m:r>
            </m:e>
            <m:sub>
              <m:r>
                <m:t>i</m:t>
              </m:r>
              <m:r>
                <m:t>t</m:t>
              </m:r>
            </m:sub>
          </m:sSub>
          <m:r>
            <m:t>)</m:t>
          </m:r>
          <m:r>
            <m:t>)</m:t>
          </m:r>
          <m:r>
            <m:t>(</m:t>
          </m:r>
          <m:sSub>
            <m:e>
              <m:r>
                <m:t>t</m:t>
              </m:r>
            </m:e>
            <m:sub>
              <m:r>
                <m:t>r</m:t>
              </m:r>
            </m:sub>
          </m:sSub>
          <m:r>
            <m:t>−</m:t>
          </m:r>
          <m:r>
            <m:t>(</m:t>
          </m:r>
          <m:r>
            <m:t>u</m:t>
          </m:r>
          <m:r>
            <m:t>+</m:t>
          </m:r>
          <m:r>
            <m:t>d</m:t>
          </m:r>
          <m:r>
            <m:t>)</m:t>
          </m:r>
          <m:r>
            <m:t>)</m:t>
          </m:r>
          <m:sSup>
            <m:e>
              <m:r>
                <m:t>]</m:t>
              </m:r>
            </m:e>
            <m:sup>
              <m:r>
                <m:t>+</m:t>
              </m:r>
            </m:sup>
          </m:sSup>
        </m:oMath>
      </m:oMathPara>
    </w:p>
    <w:p>
      <w:pPr>
        <w:pStyle w:val="BlockText"/>
      </w:pPr>
      <w:r>
        <w:rPr>
          <w:b/>
        </w:rPr>
        <w:t xml:space="preserve">Symptomatic infections</w:t>
      </w:r>
      <w:r>
        <w:t xml:space="preserve"> </w:t>
      </w:r>
      <w:r>
        <w:t xml:space="preserve">For travelers with symptomatic infections we calculate the days at risk of community transmission separately for the pre-symptomatic and symptomatic disease stages. Days at risk during the pre-symptomatic stage are calculated the same as asymptomatic days except that the endpoint for pre-symptomatic days at risk is the time that symptoms begin (</w:t>
      </w:r>
      <m:oMath>
        <m:sSub>
          <m:e>
            <m:r>
              <m:t>t</m:t>
            </m:r>
          </m:e>
          <m:sub>
            <m:r>
              <m:t>s</m:t>
            </m:r>
          </m:sub>
        </m:sSub>
      </m:oMath>
      <w:r>
        <w:t xml:space="preserve">) rather than the time of recovery (</w:t>
      </w:r>
      <m:oMath>
        <m:sSub>
          <m:e>
            <m:r>
              <m:t>t</m:t>
            </m:r>
          </m:e>
          <m:sub>
            <m:r>
              <m:t>r</m:t>
            </m:r>
          </m:sub>
        </m:sSub>
      </m:oMath>
      <w:r>
        <w:t xml:space="preserve">), and we use test sensitivity for detecting disease in the pre-symptomatic-infectious stage (</w:t>
      </w:r>
      <m:oMath>
        <m:r>
          <m:t>S</m:t>
        </m:r>
        <m:sSub>
          <m:e>
            <m:r>
              <m:t>n</m:t>
            </m:r>
          </m:e>
          <m:sub>
            <m:r>
              <m:t>P</m:t>
            </m:r>
          </m:sub>
        </m:sSub>
      </m:oMath>
      <w:r>
        <w:t xml:space="preserve">). Therefore, the expected number of days at risk of community transmission while in pre-symptomatic phase without testing is:</w:t>
      </w:r>
    </w:p>
    <w:p>
      <w:pPr>
        <w:pStyle w:val="Normal"/>
      </w:pPr>
      <m:oMathPara>
        <m:oMathParaPr>
          <m:jc m:val="center"/>
        </m:oMathParaPr>
        <m:oMath>
          <m:r>
            <m:t>[</m:t>
          </m:r>
          <m:r>
            <m:t>(</m:t>
          </m:r>
          <m:r>
            <m:t>1</m:t>
          </m:r>
          <m:r>
            <m:t>−</m:t>
          </m:r>
          <m:sSub>
            <m:e>
              <m:r>
                <m:t>P</m:t>
              </m:r>
            </m:e>
            <m:sub>
              <m:r>
                <m:t>q</m:t>
              </m:r>
            </m:sub>
          </m:sSub>
          <m:r>
            <m:t>)</m:t>
          </m:r>
          <m:r>
            <m:t>(</m:t>
          </m:r>
          <m:sSub>
            <m:e>
              <m:r>
                <m:t>t</m:t>
              </m:r>
            </m:e>
            <m:sub>
              <m:r>
                <m:t>s</m:t>
              </m:r>
            </m:sub>
          </m:sSub>
          <m:r>
            <m:t>−</m:t>
          </m:r>
          <m:r>
            <m:rPr>
              <m:sty m:val="p"/>
            </m:rPr>
            <m:t>max</m:t>
          </m:r>
          <m:r>
            <m:t>(</m:t>
          </m:r>
          <m:sSub>
            <m:e>
              <m:r>
                <m:t>t</m:t>
              </m:r>
            </m:e>
            <m:sub>
              <m:r>
                <m:t>i</m:t>
              </m:r>
            </m:sub>
          </m:sSub>
          <m:r>
            <m:t>,</m:t>
          </m:r>
          <m:r>
            <m:t>u</m:t>
          </m:r>
          <m:r>
            <m:t>)</m:t>
          </m:r>
          <m:r>
            <m:t>)</m:t>
          </m:r>
          <m:sSup>
            <m:e>
              <m:r>
                <m:t>]</m:t>
              </m:r>
            </m:e>
            <m:sup>
              <m:r>
                <m:t>+</m:t>
              </m:r>
            </m:sup>
          </m:sSup>
          <m:r>
            <m:t>+</m:t>
          </m:r>
          <m:r>
            <m:t>[</m:t>
          </m:r>
          <m:sSub>
            <m:e>
              <m:r>
                <m:t>P</m:t>
              </m:r>
            </m:e>
            <m:sub>
              <m:r>
                <m:t>q</m:t>
              </m:r>
            </m:sub>
          </m:sSub>
          <m:r>
            <m:t>(</m:t>
          </m:r>
          <m:sSub>
            <m:e>
              <m:r>
                <m:t>t</m:t>
              </m:r>
            </m:e>
            <m:sub>
              <m:r>
                <m:t>s</m:t>
              </m:r>
            </m:sub>
          </m:sSub>
          <m:r>
            <m:t>−</m:t>
          </m:r>
          <m:r>
            <m:rPr>
              <m:sty m:val="p"/>
            </m:rPr>
            <m:t>max</m:t>
          </m:r>
          <m:r>
            <m:t>(</m:t>
          </m:r>
          <m:sSub>
            <m:e>
              <m:r>
                <m:t>t</m:t>
              </m:r>
            </m:e>
            <m:sub>
              <m:r>
                <m:t>i</m:t>
              </m:r>
            </m:sub>
          </m:sSub>
          <m:r>
            <m:t>,</m:t>
          </m:r>
          <m:r>
            <m:t>u</m:t>
          </m:r>
          <m:r>
            <m:t>+</m:t>
          </m:r>
          <m:r>
            <m:t>d</m:t>
          </m:r>
          <m:r>
            <m:t>)</m:t>
          </m:r>
          <m:r>
            <m:t>)</m:t>
          </m:r>
          <m:sSup>
            <m:e>
              <m:r>
                <m:t>]</m:t>
              </m:r>
            </m:e>
            <m:sup>
              <m:r>
                <m:t>+</m:t>
              </m:r>
            </m:sup>
          </m:sSup>
        </m:oMath>
      </m:oMathPara>
    </w:p>
    <w:p>
      <w:pPr>
        <w:pStyle w:val="Normal"/>
      </w:pPr>
      <w:r>
        <w:t xml:space="preserve">With testing, it becomes:</w:t>
      </w:r>
    </w:p>
    <w:p>
      <w:pPr>
        <w:pStyle w:val="BodyText"/>
      </w:pPr>
      <m:oMathPara>
        <m:oMathParaPr>
          <m:jc m:val="center"/>
        </m:oMathParaPr>
        <m:oMath>
          <m:r>
            <m:t>[</m:t>
          </m:r>
          <m:r>
            <m:t>(</m:t>
          </m:r>
          <m:r>
            <m:t>1</m:t>
          </m:r>
          <m:r>
            <m:t>−</m:t>
          </m:r>
          <m:sSub>
            <m:e>
              <m:r>
                <m:t>P</m:t>
              </m:r>
            </m:e>
            <m:sub>
              <m:r>
                <m:t>q</m:t>
              </m:r>
            </m:sub>
          </m:sSub>
          <m:r>
            <m:t>)</m:t>
          </m:r>
          <m:r>
            <m:t>(</m:t>
          </m:r>
          <m:sSub>
            <m:e>
              <m:r>
                <m:t>t</m:t>
              </m:r>
            </m:e>
            <m:sub>
              <m:r>
                <m:t>s</m:t>
              </m:r>
            </m:sub>
          </m:sSub>
          <m:r>
            <m:t>−</m:t>
          </m:r>
          <m:r>
            <m:rPr>
              <m:sty m:val="p"/>
            </m:rPr>
            <m:t>max</m:t>
          </m:r>
          <m:r>
            <m:t>(</m:t>
          </m:r>
          <m:sSub>
            <m:e>
              <m:r>
                <m:t>t</m:t>
              </m:r>
            </m:e>
            <m:sub>
              <m:r>
                <m:t>i</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s</m:t>
              </m:r>
            </m:sub>
          </m:sSub>
          <m:r>
            <m:t>−</m:t>
          </m:r>
          <m:r>
            <m:rPr>
              <m:sty m:val="p"/>
            </m:rPr>
            <m:t>max</m:t>
          </m:r>
          <m:r>
            <m:t>(</m:t>
          </m:r>
          <m:sSub>
            <m:e>
              <m:r>
                <m:t>t</m:t>
              </m:r>
            </m:e>
            <m:sub>
              <m:r>
                <m:t>i</m:t>
              </m:r>
            </m:sub>
          </m:sSub>
          <m:r>
            <m:t>,</m:t>
          </m:r>
          <m:r>
            <m:t>u</m:t>
          </m:r>
          <m:r>
            <m:t>+</m:t>
          </m:r>
          <m:r>
            <m:t>d</m:t>
          </m:r>
          <m:r>
            <m:t>)</m:t>
          </m:r>
          <m:r>
            <m:t>)</m:t>
          </m:r>
          <m:r>
            <m:t>+</m:t>
          </m:r>
          <m:sSub>
            <m:e>
              <m:r>
                <m:rPr>
                  <m:sty m:val="b"/>
                </m:rPr>
                <m:t>1</m:t>
              </m:r>
            </m:e>
            <m:sub>
              <m:r>
                <m:t>{</m:t>
              </m:r>
              <m:r>
                <m:t>u</m:t>
              </m:r>
              <m:r>
                <m:t>+</m:t>
              </m:r>
              <m:r>
                <m:t>d</m:t>
              </m:r>
              <m:r>
                <m:t>−</m:t>
              </m:r>
              <m:r>
                <m:t>1</m:t>
              </m:r>
              <m:r>
                <m:t>≥</m:t>
              </m:r>
              <m:sSub>
                <m:e>
                  <m:r>
                    <m:t>t</m:t>
                  </m:r>
                </m:e>
                <m:sub>
                  <m:r>
                    <m:t>i</m:t>
                  </m:r>
                </m:sub>
              </m:sSub>
              <m:r>
                <m:t>}</m:t>
              </m:r>
            </m:sub>
          </m:sSub>
          <m:r>
            <m:t>(</m:t>
          </m:r>
          <m:r>
            <m:t>(</m:t>
          </m:r>
          <m:r>
            <m:t>1</m:t>
          </m:r>
          <m:r>
            <m:t>−</m:t>
          </m:r>
          <m:r>
            <m:t>S</m:t>
          </m:r>
          <m:sSub>
            <m:e>
              <m:r>
                <m:t>n</m:t>
              </m:r>
            </m:e>
            <m:sub>
              <m:r>
                <m:t>P</m:t>
              </m:r>
            </m:sub>
          </m:sSub>
          <m:r>
            <m:t>)</m:t>
          </m:r>
          <m:r>
            <m:t>+</m:t>
          </m:r>
          <m:r>
            <m:t>S</m:t>
          </m:r>
          <m:sSub>
            <m:e>
              <m:r>
                <m:t>n</m:t>
              </m:r>
            </m:e>
            <m:sub>
              <m:r>
                <m:t>P</m:t>
              </m:r>
            </m:sub>
          </m:sSub>
          <m:r>
            <m:t>(</m:t>
          </m:r>
          <m:r>
            <m:t>1</m:t>
          </m:r>
          <m:r>
            <m:t>−</m:t>
          </m:r>
          <m:sSub>
            <m:e>
              <m:r>
                <m:t>P</m:t>
              </m:r>
            </m:e>
            <m:sub>
              <m:r>
                <m:t>i</m:t>
              </m:r>
              <m:r>
                <m:t>t</m:t>
              </m:r>
            </m:sub>
          </m:sSub>
          <m:r>
            <m:t>)</m:t>
          </m:r>
          <m:r>
            <m:t>)</m:t>
          </m:r>
          <m:r>
            <m:t>(</m:t>
          </m:r>
          <m:sSub>
            <m:e>
              <m:r>
                <m:t>t</m:t>
              </m:r>
            </m:e>
            <m:sub>
              <m:r>
                <m:t>s</m:t>
              </m:r>
            </m:sub>
          </m:sSub>
          <m:r>
            <m:t>−</m:t>
          </m:r>
          <m:r>
            <m:t>(</m:t>
          </m:r>
          <m:r>
            <m:t>u</m:t>
          </m:r>
          <m:r>
            <m:t>+</m:t>
          </m:r>
          <m:r>
            <m:t>d</m:t>
          </m:r>
          <m:r>
            <m:t>)</m:t>
          </m:r>
          <m:r>
            <m:t>)</m:t>
          </m:r>
          <m:sSup>
            <m:e>
              <m:r>
                <m:t>]</m:t>
              </m:r>
            </m:e>
            <m:sup>
              <m:r>
                <m:t>+</m:t>
              </m:r>
            </m:sup>
          </m:sSup>
        </m:oMath>
      </m:oMathPara>
    </w:p>
    <w:p>
      <w:pPr>
        <w:pStyle w:val="BlockText"/>
      </w:pPr>
      <w:r>
        <w:t xml:space="preserve">We assume travelers will isolate while in symptomatic-infectious stage with probability</w:t>
      </w:r>
      <w:r>
        <w:t xml:space="preserve"> </w:t>
      </w:r>
      <m:oMath>
        <m:sSub>
          <m:e>
            <m:r>
              <m:t>P</m:t>
            </m:r>
          </m:e>
          <m:sub>
            <m:r>
              <m:t>i</m:t>
            </m:r>
            <m:r>
              <m:t>s</m:t>
            </m:r>
          </m:sub>
        </m:sSub>
      </m:oMath>
      <w:r>
        <w:t xml:space="preserve">. Days at risk while symptomatic begin at</w:t>
      </w:r>
      <w:r>
        <w:t xml:space="preserve"> </w:t>
      </w:r>
      <m:oMath>
        <m:sSub>
          <m:e>
            <m:r>
              <m:t>t</m:t>
            </m:r>
          </m:e>
          <m:sub>
            <m:r>
              <m:t>s</m:t>
            </m:r>
          </m:sub>
        </m:sSub>
      </m:oMath>
      <w:r>
        <w:t xml:space="preserve">, the time symptoms begin, and end at</w:t>
      </w:r>
      <w:r>
        <w:t xml:space="preserve"> </w:t>
      </w:r>
      <m:oMath>
        <m:sSub>
          <m:e>
            <m:r>
              <m:t>t</m:t>
            </m:r>
          </m:e>
          <m:sub>
            <m:r>
              <m:t>r</m:t>
            </m:r>
          </m:sub>
        </m:sSub>
      </m:oMath>
      <w:r>
        <w:t xml:space="preserve">, the time of recovery when individuals are no longer infectious. Therefore, the expected number of days at risk of community transmission while in symptomatic phase without testing is:</w:t>
      </w:r>
    </w:p>
    <w:p>
      <w:pPr>
        <w:pStyle w:val="Normal"/>
      </w:pPr>
      <m:oMathPara>
        <m:oMathParaPr>
          <m:jc m:val="center"/>
        </m:oMathParaPr>
        <m:oMath>
          <m:r>
            <m:t>(</m:t>
          </m:r>
          <m:r>
            <m:t>1</m:t>
          </m:r>
          <m:r>
            <m:t>−</m:t>
          </m:r>
          <m:sSub>
            <m:e>
              <m:r>
                <m:t>P</m:t>
              </m:r>
            </m:e>
            <m:sub>
              <m:r>
                <m:t>i</m:t>
              </m:r>
              <m:r>
                <m:t>s</m:t>
              </m:r>
            </m:sub>
          </m:sSub>
          <m:r>
            <m:t>)</m:t>
          </m:r>
          <m:r>
            <m:t>(</m:t>
          </m:r>
          <m:r>
            <m:t>[</m:t>
          </m:r>
          <m:r>
            <m:t>(</m:t>
          </m:r>
          <m:r>
            <m:t>1</m:t>
          </m:r>
          <m:r>
            <m:t>−</m:t>
          </m:r>
          <m:sSub>
            <m:e>
              <m:r>
                <m:t>P</m:t>
              </m:r>
            </m:e>
            <m:sub>
              <m:r>
                <m:t>q</m:t>
              </m:r>
            </m:sub>
          </m:sSub>
          <m:r>
            <m:t>)</m:t>
          </m:r>
          <m:r>
            <m:t>(</m:t>
          </m:r>
          <m:sSub>
            <m:e>
              <m:r>
                <m:t>t</m:t>
              </m:r>
            </m:e>
            <m:sub>
              <m:r>
                <m:t>r</m:t>
              </m:r>
            </m:sub>
          </m:sSub>
          <m:r>
            <m:t>−</m:t>
          </m:r>
          <m:r>
            <m:rPr>
              <m:sty m:val="p"/>
            </m:rPr>
            <m:t>max</m:t>
          </m:r>
          <m:r>
            <m:t>(</m:t>
          </m:r>
          <m:sSub>
            <m:e>
              <m:r>
                <m:t>t</m:t>
              </m:r>
            </m:e>
            <m:sub>
              <m:r>
                <m:t>s</m:t>
              </m:r>
            </m:sub>
          </m:sSub>
          <m:r>
            <m:t>,</m:t>
          </m:r>
          <m:r>
            <m:t>u</m:t>
          </m:r>
          <m:r>
            <m:t>)</m:t>
          </m:r>
          <m:r>
            <m:t>)</m:t>
          </m:r>
          <m:sSup>
            <m:e>
              <m:r>
                <m:t>]</m:t>
              </m:r>
            </m:e>
            <m:sup>
              <m:r>
                <m:t>+</m:t>
              </m:r>
            </m:sup>
          </m:sSup>
          <m:r>
            <m:t>+</m:t>
          </m:r>
          <m:r>
            <m:t>[</m:t>
          </m:r>
          <m:sSub>
            <m:e>
              <m:r>
                <m:t>P</m:t>
              </m:r>
            </m:e>
            <m:sub>
              <m:r>
                <m:t>q</m:t>
              </m:r>
            </m:sub>
          </m:sSub>
          <m:r>
            <m:t>(</m:t>
          </m:r>
          <m:sSub>
            <m:e>
              <m:r>
                <m:t>t</m:t>
              </m:r>
            </m:e>
            <m:sub>
              <m:r>
                <m:t>r</m:t>
              </m:r>
            </m:sub>
          </m:sSub>
          <m:r>
            <m:t>−</m:t>
          </m:r>
          <m:r>
            <m:rPr>
              <m:sty m:val="p"/>
            </m:rPr>
            <m:t>max</m:t>
          </m:r>
          <m:r>
            <m:t>(</m:t>
          </m:r>
          <m:sSub>
            <m:e>
              <m:r>
                <m:t>t</m:t>
              </m:r>
            </m:e>
            <m:sub>
              <m:r>
                <m:t>s</m:t>
              </m:r>
            </m:sub>
          </m:sSub>
          <m:r>
            <m:t>,</m:t>
          </m:r>
          <m:r>
            <m:t>u</m:t>
          </m:r>
          <m:r>
            <m:t>+</m:t>
          </m:r>
          <m:r>
            <m:t>d</m:t>
          </m:r>
          <m:r>
            <m:t>)</m:t>
          </m:r>
          <m:r>
            <m:t>)</m:t>
          </m:r>
          <m:sSup>
            <m:e>
              <m:r>
                <m:t>]</m:t>
              </m:r>
            </m:e>
            <m:sup>
              <m:r>
                <m:t>+</m:t>
              </m:r>
            </m:sup>
          </m:sSup>
          <m:r>
            <m:t>)</m:t>
          </m:r>
        </m:oMath>
      </m:oMathPara>
    </w:p>
    <w:p>
      <w:pPr>
        <w:pStyle w:val="BlockText"/>
      </w:pPr>
      <w:r>
        <w:t xml:space="preserve">In policies with testing, we assume that the days at risk for those who do not comply with quarantine (probability</w:t>
      </w:r>
      <w:r>
        <w:t xml:space="preserve"> </w:t>
      </w:r>
      <m:oMath>
        <m:r>
          <m:t>(</m:t>
        </m:r>
        <m:r>
          <m:t>1</m:t>
        </m:r>
        <m:r>
          <m:t>−</m:t>
        </m:r>
        <m:sSub>
          <m:e>
            <m:r>
              <m:t>P</m:t>
            </m:r>
          </m:e>
          <m:sub>
            <m:r>
              <m:t>q</m:t>
            </m:r>
          </m:sub>
        </m:sSub>
        <m:r>
          <m:t>)</m:t>
        </m:r>
      </m:oMath>
      <w:r>
        <w:t xml:space="preserve">) is unchanged because they also do not get tested. For those who comply, if they are tested before infectious (</w:t>
      </w:r>
      <m:oMath>
        <m:r>
          <m:t>u</m:t>
        </m:r>
        <m:r>
          <m:t>+</m:t>
        </m:r>
        <m:r>
          <m:t>d</m:t>
        </m:r>
        <m:r>
          <m:t>−</m:t>
        </m:r>
        <m:r>
          <m:t>1</m:t>
        </m:r>
        <m:r>
          <m:t>&lt;</m:t>
        </m:r>
        <m:sSub>
          <m:e>
            <m:r>
              <m:t>t</m:t>
            </m:r>
          </m:e>
          <m:sub>
            <m:r>
              <m:t>i</m:t>
            </m:r>
          </m:sub>
        </m:sSub>
      </m:oMath>
      <w:r>
        <w:t xml:space="preserve">) then they will test negative. With probability</w:t>
      </w:r>
      <w:r>
        <w:t xml:space="preserve"> </w:t>
      </w:r>
      <m:oMath>
        <m:r>
          <m:t>1</m:t>
        </m:r>
        <m:r>
          <m:t>−</m:t>
        </m:r>
        <m:sSub>
          <m:e>
            <m:r>
              <m:t>P</m:t>
            </m:r>
          </m:e>
          <m:sub>
            <m:r>
              <m:t>i</m:t>
            </m:r>
            <m:r>
              <m:t>s</m:t>
            </m:r>
          </m:sub>
        </m:sSub>
      </m:oMath>
      <w:r>
        <w:t xml:space="preserve"> </w:t>
      </w:r>
      <w:r>
        <w:t xml:space="preserve">they will not isolate and incur days at risk until</w:t>
      </w:r>
      <w:r>
        <w:t xml:space="preserve"> </w:t>
      </w:r>
      <m:oMath>
        <m:sSub>
          <m:e>
            <m:r>
              <m:t>t</m:t>
            </m:r>
          </m:e>
          <m:sub>
            <m:r>
              <m:t>r</m:t>
            </m:r>
          </m:sub>
        </m:sSub>
      </m:oMath>
      <w:r>
        <w:t xml:space="preserve">. If tested duirng pre-symptomatic infectious stage (</w:t>
      </w:r>
      <m:oMath>
        <m:sSub>
          <m:e>
            <m:r>
              <m:t>t</m:t>
            </m:r>
          </m:e>
          <m:sub>
            <m:r>
              <m:t>i</m:t>
            </m:r>
          </m:sub>
        </m:sSub>
        <m:r>
          <m:t>≤</m:t>
        </m:r>
        <m:r>
          <m:t>u</m:t>
        </m:r>
        <m:r>
          <m:t>+</m:t>
        </m:r>
        <m:r>
          <m:t>d</m:t>
        </m:r>
        <m:r>
          <m:t>−</m:t>
        </m:r>
        <m:r>
          <m:t>1</m:t>
        </m:r>
        <m:r>
          <m:t>&lt;</m:t>
        </m:r>
        <m:sSub>
          <m:e>
            <m:r>
              <m:t>t</m:t>
            </m:r>
          </m:e>
          <m:sub>
            <m:r>
              <m:t>s</m:t>
            </m:r>
          </m:sub>
        </m:sSub>
      </m:oMath>
      <w:r>
        <w:t xml:space="preserve">), they will incur days at risk while symptomatic only if they test false negative (probability</w:t>
      </w:r>
      <w:r>
        <w:t xml:space="preserve"> </w:t>
      </w:r>
      <m:oMath>
        <m:r>
          <m:t>(</m:t>
        </m:r>
        <m:r>
          <m:t>1</m:t>
        </m:r>
        <m:r>
          <m:t>−</m:t>
        </m:r>
        <m:r>
          <m:t>S</m:t>
        </m:r>
        <m:sSub>
          <m:e>
            <m:r>
              <m:t>n</m:t>
            </m:r>
          </m:e>
          <m:sub>
            <m:r>
              <m:t>P</m:t>
            </m:r>
          </m:sub>
        </m:sSub>
      </m:oMath>
      <w:r>
        <w:t xml:space="preserve">) and they do not isolate (probability</w:t>
      </w:r>
      <w:r>
        <w:t xml:space="preserve"> </w:t>
      </w:r>
      <m:oMath>
        <m:r>
          <m:t>(</m:t>
        </m:r>
        <m:r>
          <m:t>1</m:t>
        </m:r>
        <m:r>
          <m:t>−</m:t>
        </m:r>
        <m:sSub>
          <m:e>
            <m:r>
              <m:t>P</m:t>
            </m:r>
          </m:e>
          <m:sub>
            <m:r>
              <m:t>i</m:t>
            </m:r>
            <m:r>
              <m:t>s</m:t>
            </m:r>
          </m:sub>
        </m:sSub>
      </m:oMath>
      <w:r>
        <w:t xml:space="preserve">)). We assume all travelers with both symptoms and a positive test will isolate. For those tested while symptomatic, they will incur days at risk only if the test is false negative (</w:t>
      </w:r>
      <m:oMath>
        <m:r>
          <m:t>1</m:t>
        </m:r>
        <m:r>
          <m:t>−</m:t>
        </m:r>
        <m:r>
          <m:t>S</m:t>
        </m:r>
        <m:sSub>
          <m:e>
            <m:r>
              <m:t>n</m:t>
            </m:r>
          </m:e>
          <m:sub>
            <m:r>
              <m:t>S</m:t>
            </m:r>
          </m:sub>
        </m:sSub>
      </m:oMath>
      <w:r>
        <w:t xml:space="preserve"> </w:t>
      </w:r>
      <w:r>
        <w:t xml:space="preserve">where</w:t>
      </w:r>
      <w:r>
        <w:t xml:space="preserve"> </w:t>
      </w:r>
      <m:oMath>
        <m:r>
          <m:t>S</m:t>
        </m:r>
        <m:sSub>
          <m:e>
            <m:r>
              <m:t>n</m:t>
            </m:r>
          </m:e>
          <m:sub>
            <m:r>
              <m:t>S</m:t>
            </m:r>
          </m:sub>
        </m:sSub>
      </m:oMath>
      <w:r>
        <w:t xml:space="preserve"> </w:t>
      </w:r>
      <w:r>
        <w:t xml:space="preserve">is test sensitivity for those in symptomatic-infectious state). Therefore, the expected number of days at risk of community transmission while in the symptomatic-infectious phase with testing is:</w:t>
      </w:r>
    </w:p>
    <w:p>
      <w:pPr>
        <w:pStyle w:val="Normal"/>
      </w:pPr>
      <m:oMathPara>
        <m:oMathParaPr>
          <m:jc m:val="center"/>
        </m:oMathParaPr>
        <m:oMath>
          <m:r>
            <m:t>(</m:t>
          </m:r>
          <m:r>
            <m:t>1</m:t>
          </m:r>
          <m:r>
            <m:t>−</m:t>
          </m:r>
          <m:sSub>
            <m:e>
              <m:r>
                <m:t>P</m:t>
              </m:r>
            </m:e>
            <m:sub>
              <m:r>
                <m:t>i</m:t>
              </m:r>
              <m:r>
                <m:t>s</m:t>
              </m:r>
            </m:sub>
          </m:sSub>
          <m:r>
            <m:t>)</m:t>
          </m:r>
          <m:r>
            <m:t>[</m:t>
          </m:r>
          <m:r>
            <m:t>(</m:t>
          </m:r>
          <m:r>
            <m:t>1</m:t>
          </m:r>
          <m:r>
            <m:t>−</m:t>
          </m:r>
          <m:sSub>
            <m:e>
              <m:r>
                <m:t>P</m:t>
              </m:r>
            </m:e>
            <m:sub>
              <m:r>
                <m:t>q</m:t>
              </m:r>
            </m:sub>
          </m:sSub>
          <m:r>
            <m:t>)</m:t>
          </m:r>
          <m:r>
            <m:t>(</m:t>
          </m:r>
          <m:sSub>
            <m:e>
              <m:r>
                <m:t>t</m:t>
              </m:r>
            </m:e>
            <m:sub>
              <m:r>
                <m:t>r</m:t>
              </m:r>
            </m:sub>
          </m:sSub>
          <m:r>
            <m:t>−</m:t>
          </m:r>
          <m:r>
            <m:rPr>
              <m:sty m:val="p"/>
            </m:rPr>
            <m:t>max</m:t>
          </m:r>
          <m:r>
            <m:t>(</m:t>
          </m:r>
          <m:sSub>
            <m:e>
              <m:r>
                <m:t>t</m:t>
              </m:r>
            </m:e>
            <m:sub>
              <m:r>
                <m:t>s</m:t>
              </m:r>
            </m:sub>
          </m:sSub>
          <m:r>
            <m:t>,</m:t>
          </m:r>
          <m:r>
            <m:t>u</m:t>
          </m:r>
          <m:r>
            <m:t>)</m:t>
          </m:r>
          <m:r>
            <m:t>)</m:t>
          </m:r>
          <m:sSup>
            <m:e>
              <m:r>
                <m:t>]</m:t>
              </m:r>
            </m:e>
            <m:sup>
              <m:r>
                <m:t>+</m:t>
              </m:r>
            </m:sup>
          </m:sSup>
          <m:r>
            <m:t>+</m:t>
          </m:r>
          <m:sSub>
            <m:e>
              <m:r>
                <m:t>P</m:t>
              </m:r>
            </m:e>
            <m:sub>
              <m:r>
                <m:t>q</m:t>
              </m:r>
            </m:sub>
          </m:sSub>
          <m:r>
            <m:t>[</m:t>
          </m:r>
          <m:sSub>
            <m:e>
              <m:r>
                <m:rPr>
                  <m:sty m:val="b"/>
                </m:rPr>
                <m:t>1</m:t>
              </m:r>
            </m:e>
            <m:sub>
              <m:r>
                <m:t>{</m:t>
              </m:r>
              <m:r>
                <m:t>u</m:t>
              </m:r>
              <m:r>
                <m:t>+</m:t>
              </m:r>
              <m:r>
                <m:t>d</m:t>
              </m:r>
              <m:r>
                <m:t>−</m:t>
              </m:r>
              <m:r>
                <m:t>1</m:t>
              </m:r>
              <m:r>
                <m:t>&lt;</m:t>
              </m:r>
              <m:sSub>
                <m:e>
                  <m:r>
                    <m:t>t</m:t>
                  </m:r>
                </m:e>
                <m:sub>
                  <m:r>
                    <m:t>i</m:t>
                  </m:r>
                </m:sub>
              </m:sSub>
              <m:r>
                <m:t>}</m:t>
              </m:r>
            </m:sub>
          </m:sSub>
          <m:r>
            <m:t>(</m:t>
          </m:r>
          <m:sSub>
            <m:e>
              <m:r>
                <m:t>t</m:t>
              </m:r>
            </m:e>
            <m:sub>
              <m:r>
                <m:t>r</m:t>
              </m:r>
            </m:sub>
          </m:sSub>
          <m:r>
            <m:t>−</m:t>
          </m:r>
          <m:r>
            <m:rPr>
              <m:sty m:val="p"/>
            </m:rPr>
            <m:t>max</m:t>
          </m:r>
          <m:r>
            <m:t>(</m:t>
          </m:r>
          <m:sSub>
            <m:e>
              <m:r>
                <m:t>t</m:t>
              </m:r>
            </m:e>
            <m:sub>
              <m:r>
                <m:t>s</m:t>
              </m:r>
            </m:sub>
          </m:sSub>
          <m:r>
            <m:t>,</m:t>
          </m:r>
          <m:r>
            <m:t>u</m:t>
          </m:r>
          <m:r>
            <m:t>+</m:t>
          </m:r>
          <m:r>
            <m:t>d</m:t>
          </m:r>
          <m:r>
            <m:t>)</m:t>
          </m:r>
          <m:r>
            <m:t>)</m:t>
          </m:r>
          <m:r>
            <m:t>(</m:t>
          </m:r>
          <m:r>
            <m:t>1</m:t>
          </m:r>
          <m:r>
            <m:t>−</m:t>
          </m:r>
          <m:sSub>
            <m:e>
              <m:r>
                <m:t>P</m:t>
              </m:r>
            </m:e>
            <m:sub>
              <m:r>
                <m:t>i</m:t>
              </m:r>
              <m:r>
                <m:t>s</m:t>
              </m:r>
            </m:sub>
          </m:sSub>
          <m:r>
            <m:t>)</m:t>
          </m:r>
          <m:r>
            <m:t>+</m:t>
          </m:r>
          <m:sSub>
            <m:e>
              <m:r>
                <m:rPr>
                  <m:sty m:val="b"/>
                </m:rPr>
                <m:t>1</m:t>
              </m:r>
            </m:e>
            <m:sub>
              <m:r>
                <m:t>{</m:t>
              </m:r>
              <m:sSub>
                <m:e>
                  <m:r>
                    <m:t>t</m:t>
                  </m:r>
                </m:e>
                <m:sub>
                  <m:r>
                    <m:t>i</m:t>
                  </m:r>
                </m:sub>
              </m:sSub>
              <m:r>
                <m:t>≤</m:t>
              </m:r>
              <m:r>
                <m:t>u</m:t>
              </m:r>
              <m:r>
                <m:t>+</m:t>
              </m:r>
              <m:r>
                <m:t>d</m:t>
              </m:r>
              <m:r>
                <m:t>−</m:t>
              </m:r>
              <m:r>
                <m:t>1</m:t>
              </m:r>
              <m:r>
                <m:t>&lt;</m:t>
              </m:r>
              <m:sSub>
                <m:e>
                  <m:r>
                    <m:t>t</m:t>
                  </m:r>
                </m:e>
                <m:sub>
                  <m:r>
                    <m:t>s</m:t>
                  </m:r>
                </m:sub>
              </m:sSub>
              <m:r>
                <m:t>}</m:t>
              </m:r>
            </m:sub>
          </m:sSub>
          <m:r>
            <m:t>[</m:t>
          </m:r>
          <m:r>
            <m:t>(</m:t>
          </m:r>
          <m:r>
            <m:t>1</m:t>
          </m:r>
          <m:r>
            <m:t>−</m:t>
          </m:r>
          <m:r>
            <m:t>S</m:t>
          </m:r>
          <m:sSub>
            <m:e>
              <m:r>
                <m:t>n</m:t>
              </m:r>
            </m:e>
            <m:sub>
              <m:r>
                <m:t>P</m:t>
              </m:r>
            </m:sub>
          </m:sSub>
          <m:r>
            <m:t>)</m:t>
          </m:r>
          <m:r>
            <m:t>(</m:t>
          </m:r>
          <m:r>
            <m:t>1</m:t>
          </m:r>
          <m:r>
            <m:t>−</m:t>
          </m:r>
          <m:sSub>
            <m:e>
              <m:r>
                <m:t>P</m:t>
              </m:r>
            </m:e>
            <m:sub>
              <m:r>
                <m:t>i</m:t>
              </m:r>
              <m:r>
                <m:t>s</m:t>
              </m:r>
            </m:sub>
          </m:sSub>
          <m:r>
            <m:t>)</m:t>
          </m:r>
          <m:r>
            <m:t>(</m:t>
          </m:r>
          <m:sSub>
            <m:e>
              <m:r>
                <m:t>t</m:t>
              </m:r>
            </m:e>
            <m:sub>
              <m:r>
                <m:t>r</m:t>
              </m:r>
            </m:sub>
          </m:sSub>
          <m:r>
            <m:t>−</m:t>
          </m:r>
          <m:r>
            <m:rPr>
              <m:sty m:val="p"/>
            </m:rPr>
            <m:t>max</m:t>
          </m:r>
          <m:r>
            <m:t>(</m:t>
          </m:r>
          <m:sSub>
            <m:e>
              <m:r>
                <m:t>t</m:t>
              </m:r>
            </m:e>
            <m:sub>
              <m:r>
                <m:t>s</m:t>
              </m:r>
            </m:sub>
          </m:sSub>
          <m:r>
            <m:t>,</m:t>
          </m:r>
          <m:r>
            <m:t>u</m:t>
          </m:r>
          <m:r>
            <m:t>+</m:t>
          </m:r>
          <m:r>
            <m:t>d</m:t>
          </m:r>
          <m:r>
            <m:t>)</m:t>
          </m:r>
          <m:r>
            <m:t>)</m:t>
          </m:r>
          <m:r>
            <m:t>]</m:t>
          </m:r>
          <m:r>
            <m:t>+</m:t>
          </m:r>
          <m:sSub>
            <m:e>
              <m:r>
                <m:rPr>
                  <m:sty m:val="b"/>
                </m:rPr>
                <m:t>1</m:t>
              </m:r>
            </m:e>
            <m:sub>
              <m:r>
                <m:t>{</m:t>
              </m:r>
              <m:r>
                <m:t>u</m:t>
              </m:r>
              <m:r>
                <m:t>+</m:t>
              </m:r>
              <m:r>
                <m:t>d</m:t>
              </m:r>
              <m:r>
                <m:t>−</m:t>
              </m:r>
              <m:r>
                <m:t>1</m:t>
              </m:r>
              <m:r>
                <m:t>≥</m:t>
              </m:r>
              <m:r>
                <m:t>&gt;</m:t>
              </m:r>
              <m:sSub>
                <m:e>
                  <m:r>
                    <m:t>t</m:t>
                  </m:r>
                </m:e>
                <m:sub>
                  <m:r>
                    <m:t>s</m:t>
                  </m:r>
                </m:sub>
              </m:sSub>
              <m:r>
                <m:t>}</m:t>
              </m:r>
            </m:sub>
          </m:sSub>
          <m:r>
            <m:t>(</m:t>
          </m:r>
          <m:r>
            <m:t>1</m:t>
          </m:r>
          <m:r>
            <m:t>−</m:t>
          </m:r>
          <m:r>
            <m:t>S</m:t>
          </m:r>
          <m:sSub>
            <m:e>
              <m:r>
                <m:t>n</m:t>
              </m:r>
            </m:e>
            <m:sub>
              <m:r>
                <m:t>S</m:t>
              </m:r>
            </m:sub>
          </m:sSub>
          <m:r>
            <m:t>)</m:t>
          </m:r>
          <m:r>
            <m:t>(</m:t>
          </m:r>
          <m:r>
            <m:t>1</m:t>
          </m:r>
          <m:r>
            <m:t>−</m:t>
          </m:r>
          <m:sSub>
            <m:e>
              <m:r>
                <m:t>P</m:t>
              </m:r>
            </m:e>
            <m:sub>
              <m:r>
                <m:t>i</m:t>
              </m:r>
              <m:r>
                <m:t>s</m:t>
              </m:r>
            </m:sub>
          </m:sSub>
          <m:r>
            <m:t>)</m:t>
          </m:r>
          <m:r>
            <m:t>(</m:t>
          </m:r>
          <m:sSub>
            <m:e>
              <m:r>
                <m:t>t</m:t>
              </m:r>
            </m:e>
            <m:sub>
              <m:r>
                <m:t>r</m:t>
              </m:r>
            </m:sub>
          </m:sSub>
          <m:r>
            <m:t>−</m:t>
          </m:r>
          <m:r>
            <m:t>(</m:t>
          </m:r>
          <m:r>
            <m:t>u</m:t>
          </m:r>
          <m:r>
            <m:t>+</m:t>
          </m:r>
          <m:r>
            <m:t>d</m:t>
          </m:r>
          <m:r>
            <m:t>)</m:t>
          </m:r>
          <m:r>
            <m:t>)</m:t>
          </m:r>
          <m:sSup>
            <m:e>
              <m:r>
                <m:t>]</m:t>
              </m:r>
            </m:e>
            <m:sup>
              <m:r>
                <m:t>+</m:t>
              </m:r>
            </m:sup>
          </m:sSup>
        </m:oMath>
      </m:oMathPara>
    </w:p>
    <w:p>
      <w:pPr>
        <w:sectPr xmlns:w="http://schemas.openxmlformats.org/wordprocessingml/2006/main" xmlns:r="http://schemas.openxmlformats.org/officeDocument/2006/relationships" w:rsidR="00BE0790" w:rsidSect="00A42BFA">
          <w:footerReference w:type="default" r:id="rId9"/>
          <w:pgSz w:w="12240" w:h="15840"/>
          <w:pgMar w:top="1440" w:right="1440" w:bottom="1440" w:left="1440" w:header="720" w:footer="720" w:gutter="0"/>
          <w:cols xmlns:w="http://schemas.openxmlformats.org/wordprocessingml/2006/main"/>
          <w:docGrid w:linePitch="326"/>
          <w:type xmlns:w="http://schemas.openxmlformats.org/wordprocessingml/2006/main" w:val="continuous"/>
        </w:sectPr>
      </w:pPr>
    </w:p>
    <w:p>
      <w:pPr>
        <w:pStyle w:val="Compact"/>
      </w:pPr>
      <w:r>
        <w:rPr>
          <w:b/>
        </w:rPr>
        <w:t xml:space="preserve">Table S1</w:t>
      </w:r>
      <w:r>
        <w:t xml:space="preserve"> </w:t>
      </w:r>
      <w:r>
        <w:t xml:space="preserve">Expected days at risk of community transmission risk per infectious traveler for ten scenarios based on quarantine length and testing. Median and 98% credible interval provided. Abbreviations: asympt, asymptomatic; T, test used; NT, no testing used.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088"/>
        <w:tblLook w:firstRow="1" w:lastRow="0" w:firstColumn="0" w:lastColumn="0" w:noHBand="0" w:noVBand="1"/>
      </w:tblPr>
      <w:tblGrid>
        <w:gridCol w:w="1728"/>
        <w:gridCol w:w="720"/>
        <w:gridCol w:w="1728"/>
        <w:gridCol w:w="1728"/>
        <w:gridCol w:w="1728"/>
        <w:gridCol w:w="1728"/>
        <w:gridCol w:w="1728"/>
      </w:tblGrid>
      <w:tr>
        <w:trPr>
          <w:cantSplit/>
          <w:trHeight w:val="360" w:hRule="auto"/>
          <w:tblHeader/>
        </w:trPr>
        <w:tc>
          <w:tcPr>
            <w:tcBorders>
              <w:bottom w:val="single" w:sz="8" w:space="0" w:color="000000"/>
              <w:top w:val="single" w:sz="8" w:space="0" w:color="000000"/>
              <w:left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Scenario</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Test</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0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2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5 days</w:t>
            </w:r>
          </w:p>
        </w:tc>
        <w:tc>
          <w:tcPr>
            <w:tcBorders>
              <w:bottom w:val="single" w:sz="8" w:space="0" w:color="000000"/>
              <w:top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7 days</w:t>
            </w:r>
          </w:p>
        </w:tc>
        <w:tc>
          <w:tcPr>
            <w:tcBorders>
              <w:bottom w:val="single" w:sz="8" w:space="0" w:color="000000"/>
              <w:top w:val="single" w:sz="8" w:space="0" w:color="000000"/>
              <w:right w:val="single" w:sz="8" w:space="0" w:color="000000"/>
            </w:tcBorders>
            <w:shd w:val="clear" w:color="auto" w:fill="CFCFC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b/>
                <w:sz w:val="20"/>
                <w:szCs w:val="20"/>
                <w:color w:val="111111"/>
              </w:rPr>
              <w:t xml:space="preserve">14 days</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Base scenario</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(1.7 - 2.1)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(0.58 - 0.92)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 (0.43 - 0.69)</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(0.34 - 0.44)</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(1.5 - 1.8)</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 (0.94 - 1.3)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0.59 (0.47 - 0.77)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0.46 (0.38 - 0.60)</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(0.34 - 0.43)</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All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3.4 (2.8 - 4.1)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 (1.9 - 3.2)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(1.0 - 2.0)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(0.74 - 1.4)</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0.70 (0.56 - 0.87)</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 (2.4 - 3.5)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 (1.6 - 2.6)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(0.84 - 1.6)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0.89 (0.65 - 1.2)</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0.69 (0.56 - 0.85)</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All 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(1.3 - 1.5)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0.94 (0.80 - 1.1)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 (0.39 - 0.62)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 (0.30 - 0.47)</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 (0.26 - 0.31)</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(1.2 - 1.4)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0.81 (0.67 - 0.94)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 (0.33 - 0.54)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0.33 (0.28 - 0.42)</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0.28 (0.26 - 0.31)</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17.9%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 (1.6 - 1.9)</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(1.1 - 1.4)</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0.66 (0.53 - 0.84)</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0.49 (0.40 - 0.63)</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0.36 (0.32 - 0.41)</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 (1.4 - 1.7)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 (0.88 - 1.2)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0.55 (0.44 - 0.71)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 (0.36 - 0.55)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0.35 (0.32 - 0.40)</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30.8% asymptomatic</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 (1.8 - 2.2)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(1.2 - 1.7)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0.79 (0.62 - 1.0)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0.57 (0.46 - 0.75)</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 (0.36 - 0.48)</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 (1.6 - 2.0)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 (1.0 - 1.4)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0.64 (0.51 - 0.84)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0.50 (0.41 - 0.65)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0.41 (0.36 - 0.47)</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Low compliance</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2.5 (2.2 - 2.7)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2.1 (1.8 - 2.4)</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(1.5 - 2.0)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 (1.4 - 1.8)</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(1.3 - 1.6)</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2.4 (2.1 - 2.6)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 (1.8 - 2.3)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(1.5 - 1.9)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1.6 (1.4 - 1.8)</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(1.3 - 1.6)</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Perfect compliance</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(1.3 - 1.7)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0.90 (0.71 - 1.1)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0.31 (0.18 - 0.47)</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0.13 (0.061 - 0.26)</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0.0044 (0 - 0.030)</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(0.57 - 0.92)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0.20 (0.11 - 0.36)</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0.079 (0.029 - 0.19)</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0.0024 (0 - 0.021)</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Infected on arrival</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 (2.7 - 3.3)</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 (2.5 - 3.2)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(1.6 - 2.3)</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1.4 (1.0 - 1.8)</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0.65 (0.56 - 0.81)</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 (2.7 - 3.3)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2.8 (2.4 - 3.1)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(1.3 - 2.1)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 (0.85 - 1.5)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0.63 (0.56 - 0.77)</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Perfect test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(1.7 - 2.1)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(0.58 - 0.92)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 (0.43 - 0.69)</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(0.34 - 0.44)</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1.5 (1.4 - 1.7)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0.99 (0.83 - 1.2)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0.52 (0.41 - 0.70)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0.43 (0.36 - 0.55)</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(0.34 - 0.42)</w:t>
            </w:r>
          </w:p>
        </w:tc>
      </w:tr>
      <w:tr>
        <w:trPr>
          <w:cantSplit/>
          <w:trHeight w:val="360" w:hRule="auto"/>
        </w:trPr>
        <w:tc>
          <w:tcPr>
            <w:vMerge w:val="restart"/>
            <w:tcBorders>
              <w:top w:val="single" w:sz="8" w:space="0" w:color="000000"/>
              <w:lef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Asympt. sensitivity 30%</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NT</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1.9 (1.7 - 2.1)</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1.3 (1.1 - 1.5)</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0.72 (0.58 - 0.92)</w:t>
            </w:r>
          </w:p>
        </w:tc>
        <w:tc>
          <w:tcPr>
            <w:tcBorders>
              <w:top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0.53 (0.43 - 0.69)</w:t>
            </w:r>
          </w:p>
        </w:tc>
        <w:tc>
          <w:tcPr>
            <w:tcBorders>
              <w:top w:val="single" w:sz="8" w:space="0" w:color="000000"/>
              <w:right w:val="single" w:sz="8" w:space="0" w:color="000000"/>
            </w:tcBorders>
            <w:shd w:val="clear" w:color="auto" w:fill="EFEFE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(0.34 - 0.44)</w:t>
            </w:r>
          </w:p>
        </w:tc>
      </w:tr>
      <w:tr>
        <w:trPr>
          <w:cantSplit/>
          <w:trHeight w:val="360" w:hRule="auto"/>
        </w:trPr>
        <w:tc>
          <w:tcPr>
            <w:vMerge/>
            <w:tcBorders>
              <w:bottom w:val="single" w:sz="8" w:space="0" w:color="000000"/>
              <w:lef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1.7 (1.5 - 1.9)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1.1 (0.96 - 1.3)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0.61 (0.49 - 0.79)</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0.47 (0.39 - 0.61)</w:t>
            </w:r>
          </w:p>
        </w:tc>
        <w:tc>
          <w:tcPr>
            <w:tcBorders>
              <w:bottom w:val="single" w:sz="8" w:space="0" w:color="000000"/>
              <w:right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0.38 (0.34 - 0.43)</w:t>
            </w:r>
          </w:p>
        </w:tc>
      </w:tr>
    </w:tbl>
    <w:p>
      <w:pPr>
        <w:sectPr xmlns:w="http://schemas.openxmlformats.org/wordprocessingml/2006/main" xmlns:r="http://schemas.openxmlformats.org/officeDocument/2006/relationships" w:rsidR="00BE0790" w:rsidSect="00A42BFA">
          <w:footerReference w:type="default" r:id="rId9"/>
          <w:pgSz w:w="15840" w:h="12240" w:orient="landscape"/>
          <w:pgMar w:top="1440" w:right="1440" w:bottom="1440" w:left="1440" w:header="720" w:footer="720" w:gutter="0"/>
          <w:cols xmlns:w="http://schemas.openxmlformats.org/wordprocessingml/2006/main"/>
          <w:docGrid w:linePitch="326"/>
          <w:type xmlns:w="http://schemas.openxmlformats.org/wordprocessingml/2006/main" w:val="oddPage"/>
        </w:sectPr>
      </w:pPr>
    </w:p>
    <w:p>
      <w:pPr>
        <w:pStyle w:val="Heading5"/>
      </w:pPr>
      <w:bookmarkStart w:id="48" w:name="section-4"/>
      <w:bookmarkEnd w:id="48"/>
    </w:p>
    <w:p>
      <w:pPr>
        <w:pStyle w:val="Compact"/>
      </w:pPr>
      <w:r>
        <w:rPr>
          <w:b/>
        </w:rPr>
        <w:t xml:space="preserve">Figure S1:</w:t>
      </w:r>
      <w:r>
        <w:t xml:space="preserve"> </w:t>
      </w:r>
      <w:r>
        <w:t xml:space="preserve">Sample of 100 distributions for durations. Incubation time (top-left) generated using code from Lauer 2020</w:t>
      </w:r>
      <w:r>
        <w:t xml:space="preserve"> </w:t>
      </w:r>
      <w:r>
        <w:t xml:space="preserve">[</w:t>
      </w:r>
      <w:r>
        <w:t xml:space="preserve">1</w:t>
      </w:r>
      <w:r>
        <w:t xml:space="preserve">]</w:t>
      </w:r>
      <w:r>
        <w:t xml:space="preserve"> </w:t>
      </w:r>
      <w:r>
        <w:t xml:space="preserve">that generates bootstrapped posterior distributions from their parametric accelerated failure time model calibration. Other distributions generated by varying the mean and variance of distributions from Moghadas 2020</w:t>
      </w:r>
      <w:r>
        <w:t xml:space="preserve"> </w:t>
      </w:r>
      <w:r>
        <w:t xml:space="preserve">[</w:t>
      </w:r>
      <w:r>
        <w:t xml:space="preserve">3</w:t>
      </w:r>
      <w:r>
        <w:t xml:space="preserve">]</w:t>
      </w:r>
      <w:r>
        <w:t xml:space="preserve"> </w:t>
      </w:r>
      <w:r>
        <w:t xml:space="preserve">by ±20% and converting to gamma distribution parameters using the relationships</w:t>
      </w:r>
      <w:r>
        <w:t xml:space="preserve"> </w:t>
      </w:r>
      <m:oMath>
        <m:r>
          <m:t>μ</m:t>
        </m:r>
        <m:r>
          <m:t>=</m:t>
        </m:r>
        <m:r>
          <m:t>a</m:t>
        </m:r>
        <m:r>
          <m:t>b</m:t>
        </m:r>
      </m:oMath>
      <w:r>
        <w:t xml:space="preserve"> </w:t>
      </w:r>
      <w:r>
        <w:t xml:space="preserve">and</w:t>
      </w:r>
      <w:r>
        <w:t xml:space="preserve"> </w:t>
      </w:r>
      <m:oMath>
        <m:sSup>
          <m:e>
            <m:r>
              <m:t>σ</m:t>
            </m:r>
          </m:e>
          <m:sup>
            <m:r>
              <m:t>2</m:t>
            </m:r>
          </m:sup>
        </m:sSup>
        <m:r>
          <m:t>=</m:t>
        </m:r>
        <m:r>
          <m:t>a</m:t>
        </m:r>
        <m:sSup>
          <m:e>
            <m:r>
              <m:t>b</m:t>
            </m:r>
          </m:e>
          <m:sup>
            <m:r>
              <m:t>2</m:t>
            </m:r>
          </m:sup>
        </m:sSup>
      </m:oMath>
      <w:r>
        <w:t xml:space="preserve"> </w:t>
      </w:r>
      <w:r>
        <w:t xml:space="preserve">where</w:t>
      </w:r>
      <w:r>
        <w:t xml:space="preserve"> </w:t>
      </w:r>
      <m:oMath>
        <m:r>
          <m:t>μ</m:t>
        </m:r>
      </m:oMath>
      <w:r>
        <w:t xml:space="preserve"> </w:t>
      </w:r>
      <w:r>
        <w:t xml:space="preserve">and</w:t>
      </w:r>
      <w:r>
        <w:t xml:space="preserve"> </w:t>
      </w:r>
      <m:oMath>
        <m:r>
          <m:t>σ</m:t>
        </m:r>
      </m:oMath>
      <w:r>
        <w:t xml:space="preserve"> </w:t>
      </w:r>
      <w:r>
        <w:t xml:space="preserve">are the mean and variance of the gamma distribution and</w:t>
      </w:r>
      <w:r>
        <w:t xml:space="preserve"> </w:t>
      </w:r>
      <m:oMath>
        <m:r>
          <m:t>a</m:t>
        </m:r>
      </m:oMath>
      <w:r>
        <w:t xml:space="preserve"> </w:t>
      </w:r>
      <w:r>
        <w:t xml:space="preserve">and</w:t>
      </w:r>
      <w:r>
        <w:t xml:space="preserve"> </w:t>
      </w:r>
      <m:oMath>
        <m:r>
          <m:t>b</m:t>
        </m:r>
      </m:oMath>
      <w:r>
        <w:t xml:space="preserve"> </w:t>
      </w:r>
      <w:r>
        <w:t xml:space="preserve">are the shape and scale parameters.</w:t>
      </w:r>
    </w:p>
    <w:p>
      <w:pPr>
        <w:pStyle w:val="BodyText"/>
      </w:pPr>
      <w:r>
        <w:drawing>
          <wp:inline>
            <wp:extent cx="5943600" cy="5943600"/>
            <wp:effectExtent b="0" l="0" r="0" t="0"/>
            <wp:docPr descr="" title="" id="5" name="Picture"/>
            <a:graphic>
              <a:graphicData uri="http://schemas.openxmlformats.org/drawingml/2006/picture">
                <pic:pic>
                  <pic:nvPicPr>
                    <pic:cNvPr descr="figs/fig_distribution_sampling.png" id="6"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50" w:name="section-5"/>
      <w:bookmarkEnd w:id="50"/>
    </w:p>
    <w:p>
      <w:pPr>
        <w:pStyle w:val="Compact"/>
      </w:pPr>
      <w:r>
        <w:rPr>
          <w:b/>
        </w:rPr>
        <w:t xml:space="preserve">Fig. S2</w:t>
      </w:r>
      <w:r>
        <w:t xml:space="preserve"> </w:t>
      </w:r>
      <w:r>
        <w:t xml:space="preserve">Person-days at risk of community transmission per 10,000 arriving travelers for each policy by SARS-CoV-2 prevalence among travelers (base scenario). Person-days at risk for all travelers is calculated from the days at risk for an infectious traveler by multiplying the prevalence of active infection among arriving travelers. Points indicates the median and bars indicate 98% credible interval for each estimate. Abbreviations: Pr, prevalence of pre-infectious or infectiousness with SARS-CoV-2.</w:t>
      </w:r>
    </w:p>
    <w:p>
      <w:pPr>
        <w:pStyle w:val="BodyText"/>
      </w:pPr>
      <w:r>
        <w:drawing>
          <wp:inline>
            <wp:extent cx="5943600" cy="2286000"/>
            <wp:effectExtent b="0" l="0" r="0" t="0"/>
            <wp:docPr descr="" title="" id="7" name="Picture"/>
            <a:graphic>
              <a:graphicData uri="http://schemas.openxmlformats.org/drawingml/2006/picture">
                <pic:pic>
                  <pic:nvPicPr>
                    <pic:cNvPr descr="figs/figS2.png" id="8" name="Picture"/>
                    <pic:cNvPicPr>
                      <a:picLocks noChangeArrowheads="1" noChangeAspect="1"/>
                    </pic:cNvPicPr>
                  </pic:nvPicPr>
                  <pic:blipFill>
                    <a:blip r:embed="rId51"/>
                    <a:stretch>
                      <a:fillRect/>
                    </a:stretch>
                  </pic:blipFill>
                  <pic:spPr bwMode="auto">
                    <a:xfrm>
                      <a:off x="0" y="0"/>
                      <a:ext cx="5943600" cy="2286000"/>
                    </a:xfrm>
                    <a:prstGeom prst="rect">
                      <a:avLst/>
                    </a:prstGeom>
                    <a:noFill/>
                    <a:ln w="9525">
                      <a:noFill/>
                      <a:headEnd/>
                      <a:tailEnd/>
                    </a:ln>
                  </pic:spPr>
                </pic:pic>
              </a:graphicData>
            </a:graphic>
          </wp:inline>
        </w:drawing>
      </w:r>
    </w:p>
    <w:sectPr w:rsidR="00BE0790" w:rsidSect="00A42BFA">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A266D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62632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5BCAA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B88CA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EC3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4A9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3C0A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70A4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2C1C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209A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4267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3AC4025"/>
    <w:multiLevelType w:val="hybridMultilevel"/>
    <w:tmpl w:val="EDB03E1C"/>
    <w:lvl w:ilvl="0" w:tplc="28AC97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240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FFD2A3C"/>
    <w:multiLevelType w:val="hybridMultilevel"/>
    <w:tmpl w:val="C910249A"/>
    <w:lvl w:ilvl="0" w:tplc="27AEA6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6137"/>
    <w:pPr>
      <w:spacing w:line="360" w:lineRule="auto"/>
    </w:pPr>
    <w:rPr>
      <w:sz w:val="22"/>
    </w:rPr>
  </w:style>
  <w:style w:type="paragraph" w:styleId="Heading1">
    <w:name w:val="heading 1"/>
    <w:basedOn w:val="Normal"/>
    <w:next w:val="BodyText"/>
    <w:uiPriority w:val="9"/>
    <w:qFormat/>
    <w:rsid w:val="001D6EB1"/>
    <w:pPr>
      <w:keepNext/>
      <w:keepLines/>
      <w:spacing w:after="0" w:line="480" w:lineRule="auto"/>
      <w:contextualSpacing/>
      <w:outlineLvl w:val="0"/>
    </w:pPr>
    <w:rPr>
      <w:rFonts w:eastAsiaTheme="majorEastAsia" w:cstheme="majorBidi"/>
      <w:b/>
      <w:bCs/>
      <w:caps/>
      <w:szCs w:val="32"/>
    </w:rPr>
  </w:style>
  <w:style w:type="paragraph" w:styleId="Heading2">
    <w:name w:val="heading 2"/>
    <w:basedOn w:val="Normal"/>
    <w:next w:val="BodyText"/>
    <w:uiPriority w:val="9"/>
    <w:unhideWhenUsed/>
    <w:qFormat/>
    <w:rsid w:val="001D6EB1"/>
    <w:pPr>
      <w:keepNext/>
      <w:keepLines/>
      <w:spacing w:after="0" w:line="480" w:lineRule="auto"/>
      <w:contextualSpacing/>
      <w:outlineLvl w:val="1"/>
    </w:pPr>
    <w:rPr>
      <w:rFonts w:eastAsiaTheme="majorEastAsia" w:cstheme="majorBidi"/>
      <w:b/>
      <w:bCs/>
      <w:szCs w:val="32"/>
    </w:rPr>
  </w:style>
  <w:style w:type="paragraph" w:styleId="Heading3">
    <w:name w:val="heading 3"/>
    <w:basedOn w:val="Normal"/>
    <w:next w:val="BodyText"/>
    <w:uiPriority w:val="9"/>
    <w:unhideWhenUsed/>
    <w:qFormat/>
    <w:rsid w:val="004F67C7"/>
    <w:pPr>
      <w:keepNext/>
      <w:keepLines/>
      <w:spacing w:after="0" w:line="480" w:lineRule="auto"/>
      <w:contextualSpacing/>
      <w:outlineLvl w:val="2"/>
    </w:pPr>
    <w:rPr>
      <w:rFonts w:eastAsiaTheme="majorEastAsia" w:cstheme="majorBidi"/>
      <w:bCs/>
      <w:i/>
      <w:szCs w:val="28"/>
    </w:rPr>
  </w:style>
  <w:style w:type="paragraph" w:styleId="Heading4">
    <w:name w:val="heading 4"/>
    <w:basedOn w:val="Normal"/>
    <w:next w:val="BodyText"/>
    <w:uiPriority w:val="9"/>
    <w:unhideWhenUsed/>
    <w:qFormat/>
    <w:rsid w:val="001D6EB1"/>
    <w:pPr>
      <w:keepNext/>
      <w:keepLines/>
      <w:spacing w:after="0" w:line="480" w:lineRule="auto"/>
      <w:contextualSpacing/>
      <w:jc w:val="center"/>
      <w:outlineLvl w:val="3"/>
    </w:pPr>
    <w:rPr>
      <w:rFonts w:eastAsiaTheme="majorEastAsia" w:cstheme="majorBidi"/>
      <w:bCs/>
    </w:rPr>
  </w:style>
  <w:style w:type="paragraph" w:styleId="Heading5">
    <w:name w:val="heading 5"/>
    <w:basedOn w:val="Normal"/>
    <w:next w:val="BodyText"/>
    <w:uiPriority w:val="9"/>
    <w:unhideWhenUsed/>
    <w:qFormat/>
    <w:rsid w:val="00DD2FC5"/>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776866"/>
    <w:pPr>
      <w:keepNext/>
      <w:keepLines/>
      <w:spacing w:before="200" w:after="0"/>
      <w:outlineLvl w:val="5"/>
    </w:pPr>
    <w:rPr>
      <w:rFonts w:eastAsiaTheme="majorEastAsia" w:cstheme="majorBidi"/>
      <w:b/>
    </w:rPr>
  </w:style>
  <w:style w:type="paragraph" w:styleId="Heading7">
    <w:name w:val="heading 7"/>
    <w:basedOn w:val="Normal"/>
    <w:next w:val="BodyText"/>
    <w:uiPriority w:val="9"/>
    <w:unhideWhenUsed/>
    <w:qFormat/>
    <w:rsid w:val="008967DE"/>
    <w:pPr>
      <w:keepNext/>
      <w:keepLines/>
      <w:spacing w:before="200" w:after="120"/>
      <w:outlineLvl w:val="6"/>
    </w:pPr>
    <w:rPr>
      <w:rFonts w:eastAsiaTheme="majorEastAsia" w:cstheme="majorBidi"/>
      <w:b/>
      <w:u w:val="single"/>
    </w:rPr>
  </w:style>
  <w:style w:type="paragraph" w:styleId="Heading8">
    <w:name w:val="heading 8"/>
    <w:basedOn w:val="Normal"/>
    <w:next w:val="BodyText"/>
    <w:uiPriority w:val="9"/>
    <w:unhideWhenUsed/>
    <w:qFormat/>
    <w:rsid w:val="00FD4880"/>
    <w:pPr>
      <w:keepNext/>
      <w:keepLines/>
      <w:spacing w:before="200" w:after="0" w:line="480" w:lineRule="auto"/>
      <w:jc w:val="center"/>
      <w:outlineLvl w:val="7"/>
    </w:pPr>
    <w:rPr>
      <w:rFonts w:eastAsiaTheme="majorEastAsia" w:cstheme="majorBidi"/>
      <w:b/>
      <w:smallCaps/>
      <w:sz w:val="28"/>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5091"/>
    <w:pPr>
      <w:spacing w:after="0" w:line="432" w:lineRule="auto"/>
      <w:contextualSpacing/>
    </w:pPr>
  </w:style>
  <w:style w:type="paragraph" w:customStyle="1" w:styleId="FirstParagraph">
    <w:name w:val="First Paragraph"/>
    <w:basedOn w:val="BodyText"/>
    <w:next w:val="BodyText"/>
    <w:qFormat/>
    <w:rsid w:val="00A66956"/>
  </w:style>
  <w:style w:type="paragraph" w:customStyle="1" w:styleId="Compact">
    <w:name w:val="Compact"/>
    <w:basedOn w:val="BodyText"/>
    <w:qFormat/>
    <w:rsid w:val="00627127"/>
    <w:pPr>
      <w:spacing w:after="240" w:line="240" w:lineRule="auto"/>
    </w:pPr>
  </w:style>
  <w:style w:type="paragraph" w:styleId="Title">
    <w:name w:val="Title"/>
    <w:basedOn w:val="Normal"/>
    <w:next w:val="BodyText"/>
    <w:qFormat/>
    <w:rsid w:val="00CE750A"/>
    <w:pPr>
      <w:keepNext/>
      <w:keepLines/>
      <w:spacing w:before="480" w:after="240" w:line="480" w:lineRule="auto"/>
      <w:jc w:val="center"/>
    </w:pPr>
    <w:rPr>
      <w:rFonts w:eastAsiaTheme="majorEastAsia" w:cstheme="majorBidi"/>
      <w:b/>
      <w:bCs/>
      <w:smallCaps/>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F734CF"/>
    <w:pPr>
      <w:spacing w:after="80"/>
      <w:ind w:left="360" w:hanging="360"/>
    </w:pPr>
    <w:rPr>
      <w:rFonts w:ascii="Times New Roman" w:hAnsi="Times New Roman"/>
    </w:rPr>
  </w:style>
  <w:style w:type="paragraph" w:styleId="BlockText">
    <w:name w:val="Block Text"/>
    <w:basedOn w:val="BodyText"/>
    <w:next w:val="BodyText"/>
    <w:uiPriority w:val="9"/>
    <w:unhideWhenUsed/>
    <w:qFormat/>
    <w:rsid w:val="00C53802"/>
    <w:pPr>
      <w:ind w:firstLine="72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EB3A58"/>
    <w:pPr>
      <w:jc w:val="center"/>
    </w:p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F5091"/>
    <w:rPr>
      <w:sz w:val="22"/>
    </w:rPr>
  </w:style>
  <w:style w:type="paragraph" w:styleId="Header">
    <w:name w:val="header"/>
    <w:basedOn w:val="Normal"/>
    <w:link w:val="HeaderChar"/>
    <w:unhideWhenUsed/>
    <w:rsid w:val="003B2F2D"/>
    <w:pPr>
      <w:tabs>
        <w:tab w:val="center" w:pos="4680"/>
        <w:tab w:val="right" w:pos="9360"/>
      </w:tabs>
      <w:spacing w:after="0"/>
    </w:pPr>
  </w:style>
  <w:style w:type="character" w:customStyle="1" w:styleId="HeaderChar">
    <w:name w:val="Header Char"/>
    <w:basedOn w:val="DefaultParagraphFont"/>
    <w:link w:val="Header"/>
    <w:rsid w:val="003B2F2D"/>
  </w:style>
  <w:style w:type="paragraph" w:styleId="Footer">
    <w:name w:val="footer"/>
    <w:basedOn w:val="Normal"/>
    <w:link w:val="FooterChar"/>
    <w:uiPriority w:val="99"/>
    <w:unhideWhenUsed/>
    <w:rsid w:val="003B2F2D"/>
    <w:pPr>
      <w:tabs>
        <w:tab w:val="center" w:pos="4680"/>
        <w:tab w:val="right" w:pos="9360"/>
      </w:tabs>
      <w:spacing w:after="0"/>
    </w:pPr>
  </w:style>
  <w:style w:type="character" w:customStyle="1" w:styleId="FooterChar">
    <w:name w:val="Footer Char"/>
    <w:basedOn w:val="DefaultParagraphFont"/>
    <w:link w:val="Footer"/>
    <w:uiPriority w:val="99"/>
    <w:rsid w:val="003B2F2D"/>
  </w:style>
  <w:style w:type="paragraph" w:styleId="BalloonText">
    <w:name w:val="Balloon Text"/>
    <w:basedOn w:val="Normal"/>
    <w:link w:val="BalloonTextChar"/>
    <w:semiHidden/>
    <w:unhideWhenUsed/>
    <w:rsid w:val="00846B2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6B2C"/>
    <w:rPr>
      <w:rFonts w:ascii="Segoe UI" w:hAnsi="Segoe UI" w:cs="Segoe UI"/>
      <w:sz w:val="18"/>
      <w:szCs w:val="18"/>
    </w:rPr>
  </w:style>
  <w:style w:type="paragraph" w:customStyle="1" w:styleId="hiddenline">
    <w:name w:val="hidden_line"/>
    <w:basedOn w:val="Heading2"/>
    <w:qFormat/>
    <w:rsid w:val="00AD30A6"/>
    <w:pPr>
      <w:spacing w:line="240" w:lineRule="auto"/>
    </w:pPr>
    <w:rPr>
      <w:color w:val="FFFFFF" w:themeColor="background1"/>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31" Type="http://schemas.openxmlformats.org/officeDocument/2006/relationships/image" Target="media/rId31.png"/>
<Relationship Id="rId32" Type="http://schemas.openxmlformats.org/officeDocument/2006/relationships/image" Target="media/rId32.png"/>
<Relationship Id="rId51" Type="http://schemas.openxmlformats.org/officeDocument/2006/relationships/image" Target="media/rId51.png"/>
<Relationship Id="rId49" Type="http://schemas.openxmlformats.org/officeDocument/2006/relationships/image" Target="media/rId49.png"/>
<Relationship Id="rId29" Type="http://schemas.openxmlformats.org/officeDocument/2006/relationships/hyperlink" Target="altonrus.shinyapps.io/quarantineapp/" TargetMode="External"/>
<Relationship Id="rId39" Type="http://schemas.openxmlformats.org/officeDocument/2006/relationships/hyperlink" Target="https://doi.org/10.1073/pnas.2008373117" TargetMode="External"/>
<Relationship Id="rId37" Type="http://schemas.openxmlformats.org/officeDocument/2006/relationships/hyperlink" Target="https://doi.org/10.1101/2020.08.09.20171355" TargetMode="External"/>
<Relationship Id="rId41" Type="http://schemas.openxmlformats.org/officeDocument/2006/relationships/hyperlink" Target="https://doi.org/10.5281/zenodo.4107125" TargetMode="External"/>
<Relationship Id="rId35" Type="http://schemas.openxmlformats.org/officeDocument/2006/relationships/hyperlink" Target="https://doi.org/10.7326/M20-0504" TargetMode="External"/>
<Relationship Id="rId21" Type="http://schemas.openxmlformats.org/officeDocument/2006/relationships/hyperlink" Target="mailto:altonr@stanford.edu" TargetMode="External"/>
</Relationships>

</file>

<file path=word/_rels/footnotes.xml.rels><?xml version="1.0" encoding="UTF-8" standalone="yes"?>

<Relationships  xmlns="http://schemas.openxmlformats.org/package/2006/relationships">
<Relationship Id="rId29" Type="http://schemas.openxmlformats.org/officeDocument/2006/relationships/hyperlink" Target="altonrus.shinyapps.io/quarantineapp/" TargetMode="External"/>
<Relationship Id="rId39" Type="http://schemas.openxmlformats.org/officeDocument/2006/relationships/hyperlink" Target="https://doi.org/10.1073/pnas.2008373117" TargetMode="External"/>
<Relationship Id="rId37" Type="http://schemas.openxmlformats.org/officeDocument/2006/relationships/hyperlink" Target="https://doi.org/10.1101/2020.08.09.20171355" TargetMode="External"/>
<Relationship Id="rId41" Type="http://schemas.openxmlformats.org/officeDocument/2006/relationships/hyperlink" Target="https://doi.org/10.5281/zenodo.4107125" TargetMode="External"/>
<Relationship Id="rId35" Type="http://schemas.openxmlformats.org/officeDocument/2006/relationships/hyperlink" Target="https://doi.org/10.7326/M20-0504" TargetMode="External"/>
<Relationship Id="rId21" Type="http://schemas.openxmlformats.org/officeDocument/2006/relationships/hyperlink" Target="mailto:altonr@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1134</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Effectiveness of quarantine and testing to prevent COVID-19 transmission from arriving travelers</dc:title>
  <dc:creator/>
  <cp:keywords/>
  <dcterms:created xsi:type="dcterms:W3CDTF">2020-10-20T20:22:16Z</dcterms:created>
  <dcterms:modified xsi:type="dcterms:W3CDTF">2020-10-20T16:22:18Z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COVID_quarantine_testing.bib</vt:lpwstr>
  </property>
  <property fmtid="{D5CDD505-2E9C-101B-9397-08002B2CF9AE}" pid="3" name="csl">
    <vt:lpwstr>american-medical-association-brackets.csl</vt:lpwstr>
  </property>
  <property fmtid="{D5CDD505-2E9C-101B-9397-08002B2CF9AE}" pid="4" name="header-includes">
    <vt:lpwstr/>
  </property>
  <property fmtid="{D5CDD505-2E9C-101B-9397-08002B2CF9AE}" pid="5" name="output">
    <vt:lpwstr/>
  </property>
</Properties>
</file>