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Comparisons</w:t>
      </w:r>
      <w:r>
        <w:t xml:space="preserve"> </w:t>
      </w:r>
      <w:r>
        <w:t xml:space="preserve">of</w:t>
      </w:r>
      <w:r>
        <w:t xml:space="preserve"> </w:t>
      </w:r>
      <w:r>
        <w:t xml:space="preserve">SARS-CoV-2</w:t>
      </w:r>
      <w:r>
        <w:t xml:space="preserve"> </w:t>
      </w:r>
      <w:r>
        <w:t xml:space="preserve">serological</w:t>
      </w:r>
      <w:r>
        <w:t xml:space="preserve"> </w:t>
      </w:r>
      <w:r>
        <w:t xml:space="preserve">surveillance</w:t>
      </w:r>
      <w:r>
        <w:t xml:space="preserve"> </w:t>
      </w:r>
      <w:r>
        <w:t xml:space="preserve">across</w:t>
      </w:r>
      <w:r>
        <w:t xml:space="preserve"> </w:t>
      </w:r>
      <w:r>
        <w:t xml:space="preserve">multiple</w:t>
      </w:r>
      <w:r>
        <w:t xml:space="preserve"> </w:t>
      </w:r>
      <w:r>
        <w:t xml:space="preserve">data</w:t>
      </w:r>
      <w:r>
        <w:t xml:space="preserve"> </w:t>
      </w:r>
      <w:r>
        <w:t xml:space="preserve">sources</w:t>
      </w:r>
    </w:p>
    <w:p>
      <w:pPr>
        <w:pStyle w:val="Author"/>
      </w:pPr>
    </w:p>
    <w:p>
      <w:pPr>
        <w:pStyle w:val="Normal"/>
      </w:pPr>
      <w:r>
        <w:t xml:space="preserve">Yuan Yu</w:t>
      </w:r>
      <w:r>
        <w:rPr>
          <w:vertAlign w:val="superscript"/>
        </w:rPr>
        <w:t xml:space="preserve">1</w:t>
      </w:r>
      <w:r>
        <w:t xml:space="preserve">, Sheila O’Brien</w:t>
      </w:r>
      <w:r>
        <w:rPr>
          <w:vertAlign w:val="superscript"/>
        </w:rPr>
        <w:t xml:space="preserve">2</w:t>
      </w:r>
      <w:r>
        <w:t xml:space="preserve">, David L. Buckeridge</w:t>
      </w:r>
      <w:r>
        <w:rPr>
          <w:vertAlign w:val="superscript"/>
        </w:rPr>
        <w:t xml:space="preserve">1</w:t>
      </w:r>
      <w:r>
        <w:t xml:space="preserve">, W. Alton Russell</w:t>
      </w:r>
      <w:r>
        <w:rPr>
          <w:vertAlign w:val="superscript"/>
        </w:rPr>
        <w:t xml:space="preserve">1</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 </w:t>
      </w:r>
      <w:r>
        <w:t xml:space="preserve">Canadian Blood Services, Ottawa, Canada</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bookmarkStart w:id="20" w:name="section"/>
    <w:p>
      <w:pPr>
        <w:pStyle w:val="Heading5"/>
      </w:pPr>
    </w:p>
    <w:bookmarkEnd w:id="20"/>
    <w:bookmarkStart w:id="22" w:name="abstract"/>
    <w:p>
      <w:pPr>
        <w:pStyle w:val="Heading1"/>
      </w:pPr>
      <w:r>
        <w:t xml:space="preserve">Abstract</w:t>
      </w:r>
    </w:p>
    <w:p>
      <w:pPr>
        <w:pStyle w:val="Normal"/>
      </w:pPr>
      <w:r>
        <w:t xml:space="preserve">Blood donors serve as a crucial population for serosurveillance due to its convenient data collection process compared to other public health serveys. The fact that it consists large proportion of the elder male population might throw doubts on the seropositivity estimation for the general population. In this paper, firstly, we compared the seropositivity estimation of the general population across different data resources for varies time period, evaluating the effect of multilevel regression and poststratification (MRP) in comparison to traditional statistical adjustment approach like raking. Secondly, we further tracked the temporal pattern of the MRP adjusted seropositivity curve to find that representation error is not the main cause of the serosurveillance discrepancy across different data resources, by evaluating the average absolute difference and proportion of days of closer estimations before and after the evaluation. The gap of serosurveillance for the general population among different resources depend on varies factors including the data collection, blood sample type (serum or dried blood spots), assay difference and operating labs.</w:t>
      </w:r>
    </w:p>
    <w:p>
      <w:pPr>
        <w:pStyle w:val="BodyText"/>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bookmarkStart w:id="21" w:name="section-1"/>
    <w:p>
      <w:pPr>
        <w:pStyle w:val="Heading5"/>
      </w:pPr>
    </w:p>
    <w:bookmarkEnd w:id="21"/>
    <w:bookmarkEnd w:id="22"/>
    <w:bookmarkStart w:id="23" w:name="introduction"/>
    <w:p>
      <w:pPr>
        <w:pStyle w:val="Heading1"/>
      </w:pPr>
      <w:r>
        <w:t xml:space="preserve">Introduction</w:t>
      </w:r>
    </w:p>
    <w:p>
      <w:pPr>
        <w:pStyle w:val="BlockText"/>
      </w:pPr>
      <w:r>
        <w:t xml:space="preserve">Citation</w:t>
      </w:r>
      <w:r>
        <w:t xml:space="preserve"> </w:t>
      </w:r>
      <w:r>
        <w:t xml:space="preserve">[1]</w:t>
      </w:r>
    </w:p>
    <w:p>
      <w:pPr>
        <w:pStyle w:val="Normal"/>
      </w:pPr>
    </w:p>
    <w:bookmarkEnd w:id="23"/>
    <w:bookmarkStart w:id="25" w:name="methods"/>
    <w:p>
      <w:pPr>
        <w:pStyle w:val="Heading1"/>
      </w:pPr>
      <w:r>
        <w:t xml:space="preserve">Methods</w:t>
      </w:r>
    </w:p>
    <w:p>
      <w:pPr>
        <w:pStyle w:val="BlockText"/>
      </w:pPr>
      <w:r>
        <w:t xml:space="preserve">Data: CBS, CCAHS, ABC, APL, CLSA, CanPath</w:t>
      </w:r>
    </w:p>
    <w:p>
      <w:pPr>
        <w:pStyle w:val="BlockText"/>
      </w:pPr>
      <w:r>
        <w:t xml:space="preserve">Modeling: Multilevel Regression and Poststritification (Theorem, regression variables, poststratification table)</w:t>
      </w:r>
    </w:p>
    <w:bookmarkStart w:id="24" w:name="subsection"/>
    <w:p>
      <w:pPr>
        <w:pStyle w:val="Heading2"/>
      </w:pPr>
      <w:r>
        <w:t xml:space="preserve">Subsection</w:t>
      </w:r>
    </w:p>
    <w:p>
      <w:pPr>
        <w:pStyle w:val="BlockText"/>
      </w:pPr>
      <w:r>
        <w:t xml:space="preserve">See</w:t>
      </w:r>
      <w:r>
        <w:t xml:space="preserve"> </w:t>
      </w:r>
      <w:r xmlns:w14="http://schemas.microsoft.com/office/word/2010/wordml">
        <w:rPr/>
        <w:fldChar w:fldCharType="begin" w:dirty="true"/>
      </w:r>
      <w:r xmlns:w14="http://schemas.microsoft.com/office/word/2010/wordml">
        <w:rPr/>
        <w:instrText xml:space="preserve" w:dirty="true"> REF f-sample \h </w:instrText>
      </w:r>
      <w:r xmlns:w14="http://schemas.microsoft.com/office/word/2010/wordml">
        <w:rPr/>
        <w:fldChar w:fldCharType="end" w:dirty="true"/>
      </w:r>
      <w:r>
        <w:t xml:space="preserve">. See</w:t>
      </w:r>
      <w:r>
        <w:t xml:space="preserve"> </w:t>
      </w:r>
      <w:r xmlns:w14="http://schemas.microsoft.com/office/word/2010/wordml">
        <w:rPr/>
        <w:fldChar w:fldCharType="begin" w:dirty="true"/>
      </w:r>
      <w:r xmlns:w14="http://schemas.microsoft.com/office/word/2010/wordml">
        <w:rPr/>
        <w:instrText xml:space="preserve" w:dirty="true"> REF f-sample-2 \h </w:instrText>
      </w:r>
      <w:r xmlns:w14="http://schemas.microsoft.com/office/word/2010/wordml">
        <w:rPr/>
        <w:fldChar w:fldCharType="end" w:dirty="true"/>
      </w:r>
      <w:r>
        <w:t xml:space="preserve">.</w:t>
      </w:r>
    </w:p>
    <w:p>
      <w:pPr>
        <w:pStyle w:val="Normal"/>
      </w:pPr>
    </w:p>
    <w:bookmarkEnd w:id="24"/>
    <w:bookmarkEnd w:id="25"/>
    <w:bookmarkStart w:id="26" w:name="results"/>
    <w:p>
      <w:pPr>
        <w:pStyle w:val="Heading1"/>
      </w:pPr>
      <w:r>
        <w:t xml:space="preserve">Results</w:t>
      </w:r>
    </w:p>
    <w:p>
      <w:pPr>
        <w:pStyle w:val="Normal"/>
      </w:pPr>
      <w:r>
        <w:t xml:space="preserve">The MRP generally provides more precise estimates with lower CV (coefficient of variance = mean/sd) and admissible compared with other adjusting methods like raking and raw post-stratification, especially adjusting for multiple demographic features when aggregation table is sparse for smaller sample size (i.e. AbC).</w:t>
      </w:r>
    </w:p>
    <w:p>
      <w:pPr>
        <w:pStyle w:val="BodyText"/>
      </w:pPr>
      <w:r>
        <w:t xml:space="preserve">Especially, for later Omicron period, MRP could pull the seropositivity estimation together in comparing the adjusted and unadjusted seropositivity comparing the CBS and CCAHS II, for both overall and temporal seropositivity estimation. However, MRP does not seem to have the same effect on the earlier period when comparing with other data resources, no matter for overall or temporal seropositivity.</w:t>
      </w:r>
    </w:p>
    <w:p>
      <w:pPr>
        <w:pStyle w:val="BodyText"/>
      </w:pPr>
      <w:r>
        <w:t xml:space="preserve">Even within the same data source, MRP does not adjust the seropositivity in the same direction. For example, it tends to adjust the trend higher for the Prairies regions during the earlier Omicron but lower for the latter period.</w:t>
      </w:r>
    </w:p>
    <w:p>
      <w:pPr>
        <w:pStyle w:val="BodyText"/>
      </w:pPr>
      <w:r>
        <w:t xml:space="preserve">Since there is still an obvious gap between the population level seropositivity curves after adjusted for the potential representation error. For evaluating the potential cause of the discrepancy, we provide the coefficient analysis of the log-odds for a combined data source including the type of the blood. It showed that the higher seropositivity might be caused by serum blood samples collected by the CBS, compared to the dried blood spots used in AbC.</w:t>
      </w:r>
      <w:r>
        <w:t xml:space="preserve"> </w:t>
      </w:r>
      <w:r>
        <w:t xml:space="preserve">&gt; A</w:t>
      </w:r>
    </w:p>
    <w:p>
      <w:pPr>
        <w:pStyle w:val="BodyText"/>
      </w:pPr>
    </w:p>
    <w:bookmarkEnd w:id="26"/>
    <w:bookmarkStart w:id="28" w:name="discussion"/>
    <w:p>
      <w:pPr>
        <w:pStyle w:val="Heading1"/>
      </w:pPr>
      <w:r>
        <w:t xml:space="preserve">Discussion</w:t>
      </w:r>
    </w:p>
    <w:p>
      <w:pPr>
        <w:pStyle w:val="BlockText"/>
      </w:pPr>
      <w:r>
        <w:t xml:space="preserve">A</w:t>
      </w:r>
    </w:p>
    <w:p>
      <w:pPr>
        <w:pStyle w:val="Normal"/>
      </w:pPr>
    </w:p>
    <w:bookmarkStart w:id="27" w:name="section-2"/>
    <w:p>
      <w:pPr>
        <w:pStyle w:val="Heading5"/>
      </w:pPr>
    </w:p>
    <w:bookmarkEnd w:id="27"/>
    <w:bookmarkEnd w:id="28"/>
    <w:bookmarkStart w:id="30" w:name="declarations"/>
    <w:p>
      <w:pPr>
        <w:pStyle w:val="Heading1"/>
      </w:pPr>
      <w:r>
        <w:t xml:space="preserve">Declarations</w:t>
      </w:r>
    </w:p>
    <w:p>
      <w:pPr>
        <w:pStyle w:val="Normal"/>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w:t>
      </w:r>
    </w:p>
    <w:bookmarkStart w:id="29" w:name="section-3"/>
    <w:p>
      <w:pPr>
        <w:pStyle w:val="Heading5"/>
      </w:pPr>
    </w:p>
    <w:bookmarkEnd w:id="29"/>
    <w:bookmarkEnd w:id="30"/>
    <w:bookmarkStart w:id="37" w:name="references"/>
    <w:p>
      <w:pPr>
        <w:pStyle w:val="Heading1"/>
      </w:pPr>
      <w:r>
        <w:t xml:space="preserve">References</w:t>
      </w:r>
    </w:p>
    <w:bookmarkStart w:id="35" w:name="refs"/>
    <w:bookmarkStart w:id="32"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1">
        <w:r>
          <w:rPr>
            <w:rStyle w:val="Hyperlink"/>
          </w:rPr>
          <w:t xml:space="preserve">10.1016/j.jval.2017.07.014</w:t>
        </w:r>
      </w:hyperlink>
    </w:p>
    <w:bookmarkEnd w:id="32"/>
    <w:bookmarkStart w:id="34" w:name="ref-Keane2018"/>
    <w:p>
      <w:pPr>
        <w:pStyle w:val="Bibliography"/>
      </w:pPr>
      <w:r>
        <w:t xml:space="preserve">2.</w:t>
      </w:r>
      <w:r>
        <w:t xml:space="preserve"> </w:t>
      </w:r>
      <w:r>
        <w:t xml:space="preserve">	</w:t>
      </w:r>
      <w:r>
        <w:t xml:space="preserve">Keane C, Egan JE, Hawk M.</w:t>
      </w:r>
      <w:r>
        <w:t xml:space="preserve"> </w:t>
      </w:r>
      <w:r>
        <w:t xml:space="preserve">Effects of naloxone distribution to likely bystanders: Results of an agent-based model</w:t>
      </w:r>
      <w:r>
        <w:t xml:space="preserve">.</w:t>
      </w:r>
      <w:r>
        <w:t xml:space="preserve"> </w:t>
      </w:r>
      <w:r>
        <w:rPr>
          <w:iCs/>
          <w:i/>
        </w:rPr>
        <w:t xml:space="preserve">International Journal of Drug Policy</w:t>
      </w:r>
      <w:r>
        <w:t xml:space="preserve">. 2018;55:61-69. doi:</w:t>
      </w:r>
      <w:hyperlink r:id="rId33">
        <w:r>
          <w:rPr>
            <w:rStyle w:val="Hyperlink"/>
          </w:rPr>
          <w:t xml:space="preserve">10.1016/j.drugpo.2018.02.008</w:t>
        </w:r>
      </w:hyperlink>
    </w:p>
    <w:bookmarkEnd w:id="34"/>
    <w:bookmarkEnd w:id="35"/>
    <w:bookmarkStart w:id="36" w:name="section-4"/>
    <w:p>
      <w:pPr>
        <w:pStyle w:val="Heading5"/>
      </w:pPr>
    </w:p>
    <w:bookmarkEnd w:id="36"/>
    <w:bookmarkEnd w:id="37"/>
    <w:bookmarkStart w:id="39" w:name="tables"/>
    <w:p>
      <w:pPr>
        <w:pStyle w:val="Heading1"/>
      </w:pPr>
      <w:r>
        <w:t xml:space="preserve">Tables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bookmarkStart w:id="0c44757b-262f-4167-935b-90e710ac161a" w:name="t-sample"/>
      <w:r>
        <w:rPr>
          <w:rFonts w:ascii="Arial" w:hAnsi="Arial" w:eastAsia="Arial" w:cs="Arial"/>
          <w:i w:val="false"/>
          <w:b w:val="true"/>
          <w:u w:val="single"/>
          <w:sz w:val="20"/>
          <w:szCs w:val="20"/>
          <w:color w:val="000000"/>
        </w:rPr>
        <w:t xml:space="preserve">Table </w:t>
      </w:r>
      <w:r>
        <w:rPr>
          <w:rFonts w:ascii="Arial" w:hAnsi="Arial" w:eastAsia="Arial" w:cs="Arial"/>
          <w:i w:val="false"/>
          <w:b w:val="true"/>
          <w:u w:val="single"/>
          <w:sz w:val="20"/>
          <w:szCs w:val="20"/>
          <w:color w:val="000000"/>
        </w:rPr>
        <w:fldChar w:fldCharType="begin" w:dirty="true"/>
      </w:r>
      <w:r>
        <w:rPr>
          <w:rFonts w:ascii="Arial" w:hAnsi="Arial" w:eastAsia="Arial" w:cs="Arial"/>
          <w:i w:val="false"/>
          <w:b w:val="true"/>
          <w:u w:val="single"/>
          <w:sz w:val="20"/>
          <w:szCs w:val="20"/>
          <w:color w:val="000000"/>
        </w:rPr>
        <w:instrText xml:space="preserve" w:dirty="true">SEQ tab \* Arabic</w:instrText>
      </w:r>
      <w:r>
        <w:rPr>
          <w:rFonts w:ascii="Arial" w:hAnsi="Arial" w:eastAsia="Arial" w:cs="Arial"/>
          <w:i w:val="false"/>
          <w:b w:val="true"/>
          <w:u w:val="single"/>
          <w:sz w:val="20"/>
          <w:szCs w:val="20"/>
          <w:color w:val="000000"/>
        </w:rPr>
        <w:fldChar w:fldCharType="end" w:dirty="true"/>
      </w:r>
      <w:bookmarkEnd w:id="0c44757b-262f-4167-935b-90e710ac161a"/>
      <w:r>
        <w:rPr>
          <w:rFonts w:ascii="Arial" w:hAnsi="Arial" w:eastAsia="Arial" w:cs="Arial"/>
          <w:i w:val="false"/>
          <w:b w:val="true"/>
          <w:u w:val="single"/>
          <w:sz w:val="20"/>
          <w:szCs w:val="20"/>
          <w:color w:val="000000"/>
        </w:rPr>
        <w:t xml:space="preserve">: </w:t>
      </w:r>
      <w:r>
        <w:t xml:space="preserve">This is a sample table.</w:t>
      </w:r>
    </w:p>
    <w:tbl xmlns:w14="http://schemas.microsoft.com/office/word/2010/wordml">
      <w:tblPr>
        <w:tblLayout w:type="fixed"/>
        <w:jc w:val="center"/>
        <w:tblLook w:firstRow="1" w:lastRow="0" w:firstColumn="0" w:lastColumn="0" w:noHBand="0" w:noVBand="1"/>
      </w:tblPr>
      <w:tblGrid>
        <w:gridCol w:w="2448"/>
        <w:gridCol w:w="1080"/>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col2</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Source</w:t>
            </w:r>
          </w:p>
        </w:tc>
      </w:tr>
      <w:tr>
        <w:trPr>
          <w:trHeight w:val="360" w:hRule="auto"/>
        </w:trPr>
        body1
        <w:tc>
          <w:tcPr>
            <w:gridSpan w:val="3"/>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Yes</w:t>
            </w:r>
            <w:r>
              <w:rPr>
                <w:rFonts w:ascii="Times" w:hAnsi="Times" w:eastAsia="Times" w:cs="Times"/>
                <w:i w:val="false"/>
                <w:b w:val="false"/>
                <w:u w:val="none"/>
                <w:vertAlign w:val="superscript"/>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Langham</w:t>
            </w:r>
            <w:r>
              <w:rPr>
                <w:rFonts w:ascii="Times" w:hAnsi="Times" w:eastAsia="Times" w:cs="Times"/>
                <w:i w:val="false"/>
                <w:b w:val="false"/>
                <w:u w:val="none"/>
                <w:sz w:val="20"/>
                <w:szCs w:val="20"/>
                <w:color w:val="000000"/>
              </w:rPr>
              <w:t xml:space="preserve"> </w:t>
            </w:r>
            <w:r>
              <w:rPr>
                <w:rFonts w:ascii="Times" w:hAnsi="Times" w:eastAsia="Times" w:cs="Times"/>
                <w:i w:val="false"/>
                <w:b w:val="false"/>
                <w:u w:val="none"/>
                <w:sz w:val="20"/>
                <w:szCs w:val="20"/>
                <w:color w:val="000000"/>
              </w:rPr>
              <w:t xml:space="preserve">et</w:t>
            </w:r>
            <w:r>
              <w:rPr>
                <w:rFonts w:ascii="Times" w:hAnsi="Times" w:eastAsia="Times" w:cs="Times"/>
                <w:i w:val="false"/>
                <w:b w:val="false"/>
                <w:u w:val="none"/>
                <w:sz w:val="20"/>
                <w:szCs w:val="20"/>
                <w:color w:val="000000"/>
              </w:rPr>
              <w:t xml:space="preserve"> </w:t>
            </w:r>
            <w:r>
              <w:rPr>
                <w:rFonts w:ascii="Times" w:hAnsi="Times" w:eastAsia="Times" w:cs="Times"/>
                <w:i w:val="false"/>
                <w:b w:val="false"/>
                <w:u w:val="none"/>
                <w:sz w:val="20"/>
                <w:szCs w:val="20"/>
                <w:color w:val="000000"/>
              </w:rPr>
              <w:t xml:space="preserve">al.</w:t>
            </w:r>
            <w:r>
              <w:rPr>
                <w:rFonts w:ascii="Times" w:hAnsi="Times" w:eastAsia="Times" w:cs="Times"/>
                <w:i w:val="false"/>
                <w:b w:val="false"/>
                <w:u w:val="none"/>
                <w:sz w:val="20"/>
                <w:szCs w:val="20"/>
                <w:color w:val="000000"/>
              </w:rPr>
              <w:t xml:space="preserve"> </w:t>
            </w:r>
            <w:r>
              <w:rPr>
                <w:rFonts w:ascii="Times" w:hAnsi="Times" w:eastAsia="Times" w:cs="Times"/>
                <w:i w:val="false"/>
                <w:b w:val="false"/>
                <w:u w:val="none"/>
                <w:sz w:val="20"/>
                <w:szCs w:val="20"/>
                <w:color w:val="000000"/>
              </w:rPr>
              <w:t xml:space="preserve">2018</w:t>
            </w:r>
            <w:r>
              <w:rPr>
                <w:rFonts w:ascii="Times" w:hAnsi="Times" w:eastAsia="Times" w:cs="Times"/>
                <w:i w:val="false"/>
                <w:b w:val="false"/>
                <w:u w:val="none"/>
                <w:vertAlign w:val="superscript"/>
                <w:sz w:val="20"/>
                <w:szCs w:val="20"/>
                <w:color w:val="000000"/>
              </w:rPr>
              <w:t xml:space="preserve">2</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Keane</w:t>
            </w:r>
            <w:r>
              <w:rPr>
                <w:rFonts w:ascii="Times" w:hAnsi="Times" w:eastAsia="Times" w:cs="Times"/>
                <w:i w:val="false"/>
                <w:b w:val="true"/>
                <w:u w:val="none"/>
                <w:sz w:val="20"/>
                <w:szCs w:val="20"/>
                <w:color w:val="000000"/>
              </w:rPr>
              <w:t xml:space="preserve"> </w:t>
            </w:r>
            <w:r>
              <w:rPr>
                <w:rFonts w:ascii="Times" w:hAnsi="Times" w:eastAsia="Times" w:cs="Times"/>
                <w:i w:val="false"/>
                <w:b w:val="true"/>
                <w:u w:val="none"/>
                <w:sz w:val="20"/>
                <w:szCs w:val="20"/>
                <w:color w:val="000000"/>
              </w:rPr>
              <w:t xml:space="preserve">et</w:t>
            </w:r>
            <w:r>
              <w:rPr>
                <w:rFonts w:ascii="Times" w:hAnsi="Times" w:eastAsia="Times" w:cs="Times"/>
                <w:i w:val="false"/>
                <w:b w:val="true"/>
                <w:u w:val="none"/>
                <w:sz w:val="20"/>
                <w:szCs w:val="20"/>
                <w:color w:val="000000"/>
              </w:rPr>
              <w:t xml:space="preserve"> </w:t>
            </w:r>
            <w:r>
              <w:rPr>
                <w:rFonts w:ascii="Times" w:hAnsi="Times" w:eastAsia="Times" w:cs="Times"/>
                <w:i w:val="false"/>
                <w:b w:val="true"/>
                <w:u w:val="none"/>
                <w:sz w:val="20"/>
                <w:szCs w:val="20"/>
                <w:color w:val="000000"/>
              </w:rPr>
              <w:t xml:space="preserve">al.</w:t>
            </w:r>
            <w:r>
              <w:rPr>
                <w:rFonts w:ascii="Times" w:hAnsi="Times" w:eastAsia="Times" w:cs="Times"/>
                <w:i w:val="false"/>
                <w:b w:val="true"/>
                <w:u w:val="none"/>
                <w:sz w:val="20"/>
                <w:szCs w:val="20"/>
                <w:color w:val="000000"/>
              </w:rPr>
              <w:t xml:space="preserve"> </w:t>
            </w:r>
            <w:r>
              <w:rPr>
                <w:rFonts w:ascii="Times" w:hAnsi="Times" w:eastAsia="Times" w:cs="Times"/>
                <w:i w:val="false"/>
                <w:b w:val="true"/>
                <w:u w:val="none"/>
                <w:sz w:val="20"/>
                <w:szCs w:val="20"/>
                <w:color w:val="000000"/>
              </w:rPr>
              <w:t xml:space="preserve">2018</w:t>
            </w:r>
          </w:p>
        </w:tc>
      </w:tr>
      <w:tr>
        <w:trPr>
          <w:trHeight w:val="360" w:hRule="auto"/>
        </w:trPr>
        body4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
            </w:r>
          </w:p>
        </w:tc>
      </w:tr>
      <w:tr>
        <w:trPr>
          <w:trHeight w:val="360" w:hRule="auto"/>
        </w:trPr>
        footer1
        <w:tc>
          <w:tcPr>
            <w:gridSpan w:val="3"/>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vertAlign w:val="superscript"/>
                <w:sz w:val="22"/>
                <w:szCs w:val="22"/>
                <w:color w:val="000000"/>
              </w:rPr>
              <w:t xml:space="preserve">1</w:t>
            </w:r>
            <w:r>
              <w:rPr>
                <w:rFonts w:ascii="DejaVu Sans" w:hAnsi="DejaVu Sans" w:eastAsia="DejaVu Sans" w:cs="DejaVu Sans"/>
                <w:i w:val="false"/>
                <w:b w:val="false"/>
                <w:u w:val="none"/>
                <w:sz w:val="22"/>
                <w:szCs w:val="22"/>
                <w:color w:val="000000"/>
              </w:rPr>
              <w:t xml:space="preserve">Footnote</w:t>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t xml:space="preserve">2</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vertAlign w:val="superscript"/>
                <w:sz w:val="22"/>
                <w:szCs w:val="22"/>
                <w:color w:val="000000"/>
              </w:rPr>
              <w:t xml:space="preserve">2</w:t>
            </w:r>
            <w:r>
              <w:rPr>
                <w:rFonts w:ascii="DejaVu Sans" w:hAnsi="DejaVu Sans" w:eastAsia="DejaVu Sans" w:cs="DejaVu Sans"/>
                <w:i w:val="false"/>
                <w:b w:val="false"/>
                <w:u w:val="none"/>
                <w:sz w:val="22"/>
                <w:szCs w:val="22"/>
                <w:color w:val="000000"/>
              </w:rPr>
              <w:t xml:space="preserve">Footnote</w:t>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t xml:space="preserve">1</w:t>
            </w:r>
          </w:p>
        </w:tc>
      </w:tr>
    </w:tbl>
    <w:bookmarkStart w:id="38" w:name="section-5"/>
    <w:p>
      <w:pPr>
        <w:pStyle w:val="Heading5"/>
      </w:pPr>
    </w:p>
    <w:bookmarkEnd w:id="38"/>
    <w:bookmarkEnd w:id="39"/>
    <w:bookmarkStart w:id="41" w:name="figures"/>
    <w:p>
      <w:pPr>
        <w:pStyle w:val="Heading1"/>
      </w:pPr>
      <w:r>
        <w:t xml:space="preserve">Figures</w:t>
      </w:r>
    </w:p>
    <w:p>
      <w:pPr>
        <w:jc w:val="center"/>
        <w:pStyle w:val="Figure"/>
      </w:pPr>
      <w:r>
        <w:rPr/>
        <w:drawing>
          <wp:inline distT="0" distB="0" distL="0" distR="0">
            <wp:extent cx="64008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4"/>
                    <a:stretch>
                      <a:fillRect/>
                    </a:stretch>
                  </pic:blipFill>
                  <pic:spPr bwMode="auto">
                    <a:xfrm>
                      <a:off x="0" y="0"/>
                      <a:ext cx="88900" cy="50800"/>
                    </a:xfrm>
                    <a:prstGeom prst="rect">
                      <a:avLst/>
                    </a:prstGeom>
                    <a:noFill/>
                  </pic:spPr>
                </pic:pic>
              </a:graphicData>
            </a:graphic>
          </wp:inline>
        </w:drawing>
      </w:r>
    </w:p>
    <w:p>
      <w:pPr>
        <w:pStyle w:stlname="Image Caption" w:val="ImageCaption"/>
      </w:pPr>
      <w:bookmarkStart w:id="ee4c2f4c-25e6-4fcc-9d46-3c4a16a4bf28" w:name="f-sample"/>
      <w:r>
        <w:rPr>
          <w:rFonts w:ascii="Arial" w:hAnsi="Arial" w:eastAsia="Arial" w:cs="Arial"/>
          <w:i w:val="false"/>
          <w:b w:val="true"/>
          <w:u w:val="single"/>
          <w:sz w:val="20"/>
          <w:szCs w:val="20"/>
          <w:color w:val="000000"/>
        </w:rPr>
        <w:t xml:space="preserve">Figure </w:t>
      </w:r>
      <w:r xmlns:w14="http://schemas.microsoft.com/office/word/2010/wordml">
        <w:rPr>
          <w:rFonts w:ascii="Arial" w:hAnsi="Arial" w:eastAsia="Arial" w:cs="Arial"/>
          <w:i w:val="false"/>
          <w:b w:val="true"/>
          <w:u w:val="single"/>
          <w:sz w:val="20"/>
          <w:szCs w:val="20"/>
          <w:color w:val="000000"/>
        </w:rPr>
        <w:fldChar w:fldCharType="begin" w:dirty="true"/>
      </w:r>
      <w:r xmlns:w14="http://schemas.microsoft.com/office/word/2010/wordml">
        <w:rPr>
          <w:rFonts w:ascii="Arial" w:hAnsi="Arial" w:eastAsia="Arial" w:cs="Arial"/>
          <w:i w:val="false"/>
          <w:b w:val="true"/>
          <w:u w:val="single"/>
          <w:sz w:val="20"/>
          <w:szCs w:val="20"/>
          <w:color w:val="000000"/>
        </w:rPr>
        <w:instrText xml:space="preserve" w:dirty="true">SEQ fig \* Arabic</w:instrText>
      </w:r>
      <w:r xmlns:w14="http://schemas.microsoft.com/office/word/2010/wordml">
        <w:rPr>
          <w:rFonts w:ascii="Arial" w:hAnsi="Arial" w:eastAsia="Arial" w:cs="Arial"/>
          <w:i w:val="false"/>
          <w:b w:val="true"/>
          <w:u w:val="single"/>
          <w:sz w:val="20"/>
          <w:szCs w:val="20"/>
          <w:color w:val="000000"/>
        </w:rPr>
        <w:fldChar w:fldCharType="end" w:dirty="true"/>
      </w:r>
      <w:bookmarkEnd w:id="ee4c2f4c-25e6-4fcc-9d46-3c4a16a4bf28"/>
      <w:r>
        <w:rPr>
          <w:rFonts w:ascii="Arial" w:hAnsi="Arial" w:eastAsia="Arial" w:cs="Arial"/>
          <w:i w:val="false"/>
          <w:b w:val="true"/>
          <w:u w:val="single"/>
          <w:sz w:val="20"/>
          <w:szCs w:val="20"/>
          <w:color w:val="000000"/>
        </w:rPr>
        <w:t xml:space="preserve">: </w:t>
      </w:r>
      <w:r>
        <w:t xml:space="preserve">Seropositivity estimation during Omicron, January - April, 2022.</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5"/>
                    <a:stretch>
                      <a:fillRect/>
                    </a:stretch>
                  </pic:blipFill>
                  <pic:spPr bwMode="auto">
                    <a:xfrm>
                      <a:off x="0" y="0"/>
                      <a:ext cx="88900" cy="50800"/>
                    </a:xfrm>
                    <a:prstGeom prst="rect">
                      <a:avLst/>
                    </a:prstGeom>
                    <a:noFill/>
                  </pic:spPr>
                </pic:pic>
              </a:graphicData>
            </a:graphic>
          </wp:inline>
        </w:drawing>
      </w:r>
    </w:p>
    <w:p>
      <w:pPr>
        <w:pStyle w:stlname="Image Caption" w:val="ImageCaption"/>
      </w:pPr>
      <w:bookmarkStart w:id="512594d4-059f-468b-8f5b-7e55bb4d60c6" w:name="f-sample"/>
      <w:r>
        <w:rPr>
          <w:rFonts w:ascii="Arial" w:hAnsi="Arial" w:eastAsia="Arial" w:cs="Arial"/>
          <w:i w:val="false"/>
          <w:b w:val="true"/>
          <w:u w:val="single"/>
          <w:sz w:val="20"/>
          <w:szCs w:val="20"/>
          <w:color w:val="000000"/>
        </w:rPr>
        <w:t xml:space="preserve">Figure </w:t>
      </w:r>
      <w:r xmlns:w14="http://schemas.microsoft.com/office/word/2010/wordml">
        <w:rPr>
          <w:rFonts w:ascii="Arial" w:hAnsi="Arial" w:eastAsia="Arial" w:cs="Arial"/>
          <w:i w:val="false"/>
          <w:b w:val="true"/>
          <w:u w:val="single"/>
          <w:sz w:val="20"/>
          <w:szCs w:val="20"/>
          <w:color w:val="000000"/>
        </w:rPr>
        <w:fldChar w:fldCharType="begin" w:dirty="true"/>
      </w:r>
      <w:r xmlns:w14="http://schemas.microsoft.com/office/word/2010/wordml">
        <w:rPr>
          <w:rFonts w:ascii="Arial" w:hAnsi="Arial" w:eastAsia="Arial" w:cs="Arial"/>
          <w:i w:val="false"/>
          <w:b w:val="true"/>
          <w:u w:val="single"/>
          <w:sz w:val="20"/>
          <w:szCs w:val="20"/>
          <w:color w:val="000000"/>
        </w:rPr>
        <w:instrText xml:space="preserve" w:dirty="true">SEQ fig \* Arabic</w:instrText>
      </w:r>
      <w:r xmlns:w14="http://schemas.microsoft.com/office/word/2010/wordml">
        <w:rPr>
          <w:rFonts w:ascii="Arial" w:hAnsi="Arial" w:eastAsia="Arial" w:cs="Arial"/>
          <w:i w:val="false"/>
          <w:b w:val="true"/>
          <w:u w:val="single"/>
          <w:sz w:val="20"/>
          <w:szCs w:val="20"/>
          <w:color w:val="000000"/>
        </w:rPr>
        <w:fldChar w:fldCharType="end" w:dirty="true"/>
      </w:r>
      <w:bookmarkEnd w:id="512594d4-059f-468b-8f5b-7e55bb4d60c6"/>
      <w:r>
        <w:rPr>
          <w:rFonts w:ascii="Arial" w:hAnsi="Arial" w:eastAsia="Arial" w:cs="Arial"/>
          <w:i w:val="false"/>
          <w:b w:val="true"/>
          <w:u w:val="single"/>
          <w:sz w:val="20"/>
          <w:szCs w:val="20"/>
          <w:color w:val="000000"/>
        </w:rPr>
        <w:t xml:space="preserve">: </w:t>
      </w:r>
      <w:r>
        <w:t xml:space="preserve">Seropositivity estimation during Omicron, April - August, 2022.</w:t>
      </w:r>
    </w:p>
    <w:bookmarkStart w:id="40" w:name="section-6"/>
    <w:p>
      <w:pPr>
        <w:pStyle w:val="Heading5"/>
      </w:pPr>
    </w:p>
    <w:bookmarkEnd w:id="40"/>
    <w:bookmarkEnd w:id="41"/>
    <w:bookmarkStart w:id="42" w:name="supplemental-materials"/>
    <w:p>
      <w:pPr>
        <w:pStyle w:val="Heading1"/>
      </w:pPr>
      <w:r>
        <w:t xml:space="preserve">Supplemental materials</w:t>
      </w:r>
    </w:p>
    <w:p>
      <w:pPr>
        <w:pStyle w:val="Normal"/>
      </w:pPr>
    </w:p>
    <w:bookmarkEnd w:id="42"/>
    <w:bookmarkStart w:id="44" w:name="a.-supplement-section"/>
    <w:p>
      <w:pPr>
        <w:pStyle w:val="Heading1"/>
      </w:pPr>
      <w:r>
        <w:t xml:space="preserve">A. Supplement section</w:t>
      </w:r>
    </w:p>
    <w:bookmarkStart w:id="43" w:name="section-7"/>
    <w:p>
      <w:pPr>
        <w:pStyle w:val="Heading5"/>
      </w:pPr>
    </w:p>
    <w:bookmarkEnd w:id="43"/>
    <w:bookmarkEnd w:id="44"/>
    <w:bookmarkStart w:id="46" w:name="supplemental-tables"/>
    <w:p>
      <w:pPr>
        <w:pStyle w:val="Heading1"/>
      </w:pPr>
      <w:r>
        <w:t xml:space="preserve">Supplemental tables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bookmarkStart w:id="4ba0e2bd-e8a6-41ff-9950-ed4651962e12" w:name="t-sample-2"/>
      <w:r>
        <w:rPr>
          <w:rFonts w:ascii="Arial" w:hAnsi="Arial" w:eastAsia="Arial" w:cs="Arial"/>
          <w:i w:val="false"/>
          <w:b w:val="true"/>
          <w:u w:val="single"/>
          <w:sz w:val="20"/>
          <w:szCs w:val="20"/>
          <w:color w:val="000000"/>
        </w:rPr>
        <w:t xml:space="preserve">Table S</w:t>
      </w:r>
      <w:r>
        <w:rPr>
          <w:rFonts w:ascii="Arial" w:hAnsi="Arial" w:eastAsia="Arial" w:cs="Arial"/>
          <w:i w:val="false"/>
          <w:b w:val="true"/>
          <w:u w:val="single"/>
          <w:sz w:val="20"/>
          <w:szCs w:val="20"/>
          <w:color w:val="000000"/>
        </w:rPr>
        <w:fldChar w:fldCharType="begin" w:dirty="true"/>
      </w:r>
      <w:r>
        <w:rPr>
          <w:rFonts w:ascii="Arial" w:hAnsi="Arial" w:eastAsia="Arial" w:cs="Arial"/>
          <w:i w:val="false"/>
          <w:b w:val="true"/>
          <w:u w:val="single"/>
          <w:sz w:val="20"/>
          <w:szCs w:val="20"/>
          <w:color w:val="000000"/>
        </w:rPr>
        <w:instrText xml:space="preserve" w:dirty="true">SEQ stab \* Arabic</w:instrText>
      </w:r>
      <w:r>
        <w:rPr>
          <w:rFonts w:ascii="Arial" w:hAnsi="Arial" w:eastAsia="Arial" w:cs="Arial"/>
          <w:i w:val="false"/>
          <w:b w:val="true"/>
          <w:u w:val="single"/>
          <w:sz w:val="20"/>
          <w:szCs w:val="20"/>
          <w:color w:val="000000"/>
        </w:rPr>
        <w:fldChar w:fldCharType="end" w:dirty="true"/>
      </w:r>
      <w:bookmarkEnd w:id="4ba0e2bd-e8a6-41ff-9950-ed4651962e12"/>
      <w:r>
        <w:rPr>
          <w:rFonts w:ascii="Arial" w:hAnsi="Arial" w:eastAsia="Arial" w:cs="Arial"/>
          <w:i w:val="false"/>
          <w:b w:val="true"/>
          <w:u w:val="single"/>
          <w:sz w:val="20"/>
          <w:szCs w:val="20"/>
          <w:color w:val="000000"/>
        </w:rPr>
        <w:t xml:space="preserve">: </w:t>
      </w:r>
      <w:r>
        <w:t xml:space="preserve">This is a sample table.</w:t>
      </w:r>
    </w:p>
    <w:tbl xmlns:w14="http://schemas.microsoft.com/office/word/2010/wordml">
      <w:tblPr>
        <w:tblLayout w:type="fixed"/>
        <w:jc w:val="center"/>
        <w:tblLook w:firstRow="1" w:lastRow="0" w:firstColumn="0" w:lastColumn="0" w:noHBand="0" w:noVBand="1"/>
      </w:tblPr>
      <w:tblGrid>
        <w:gridCol w:w="2448"/>
        <w:gridCol w:w="1080"/>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col2</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Source</w:t>
            </w:r>
          </w:p>
        </w:tc>
      </w:tr>
      <w:tr>
        <w:trPr>
          <w:trHeight w:val="360" w:hRule="auto"/>
        </w:trPr>
        body1
        <w:tc>
          <w:tcPr>
            <w:gridSpan w:val="3"/>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Yes</w:t>
            </w:r>
            <w:r>
              <w:rPr>
                <w:rFonts w:ascii="Times" w:hAnsi="Times" w:eastAsia="Times" w:cs="Times"/>
                <w:i w:val="false"/>
                <w:b w:val="false"/>
                <w:u w:val="none"/>
                <w:vertAlign w:val="superscript"/>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[1]</w:t>
            </w:r>
            <w:r>
              <w:rPr>
                <w:rFonts w:ascii="Times" w:hAnsi="Times" w:eastAsia="Times" w:cs="Times"/>
                <w:i w:val="false"/>
                <w:b w:val="false"/>
                <w:u w:val="none"/>
                <w:vertAlign w:val="superscript"/>
                <w:sz w:val="20"/>
                <w:szCs w:val="20"/>
                <w:color w:val="000000"/>
              </w:rPr>
              <w:t xml:space="preserve">2</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true"/>
                <w:u w:val="none"/>
                <w:sz w:val="20"/>
                <w:szCs w:val="20"/>
                <w:color w:val="000000"/>
              </w:rPr>
              <w:t xml:space="preserve">[2]</w:t>
            </w:r>
          </w:p>
        </w:tc>
      </w:tr>
      <w:tr>
        <w:trPr>
          <w:trHeight w:val="360" w:hRule="auto"/>
        </w:trPr>
        body4
        <w:tc>
          <w:tcPr>
            <w:gridSpan w:val="3"/>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w:hAnsi="Times" w:eastAsia="Times" w:cs="Times"/>
                <w:i w:val="false"/>
                <w:b w:val="false"/>
                <w:u w:val="none"/>
                <w:sz w:val="20"/>
                <w:szCs w:val="20"/>
                <w:color w:val="000000"/>
              </w:rPr>
              <w:t xml:space="preserve"/>
            </w:r>
          </w:p>
        </w:tc>
      </w:tr>
      <w:tr>
        <w:trPr>
          <w:trHeight w:val="360" w:hRule="auto"/>
        </w:trPr>
        footer1
        <w:tc>
          <w:tcPr>
            <w:gridSpan w:val="3"/>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vertAlign w:val="superscript"/>
                <w:sz w:val="22"/>
                <w:szCs w:val="22"/>
                <w:color w:val="000000"/>
              </w:rPr>
              <w:t xml:space="preserve">1</w:t>
            </w:r>
            <w:r>
              <w:rPr>
                <w:rFonts w:ascii="DejaVu Sans" w:hAnsi="DejaVu Sans" w:eastAsia="DejaVu Sans" w:cs="DejaVu Sans"/>
                <w:i w:val="false"/>
                <w:b w:val="false"/>
                <w:u w:val="none"/>
                <w:sz w:val="22"/>
                <w:szCs w:val="22"/>
                <w:color w:val="000000"/>
              </w:rPr>
              <w:t xml:space="preserve">Footnote</w:t>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t xml:space="preserve">2</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DejaVu Sans" w:hAnsi="DejaVu Sans" w:eastAsia="DejaVu Sans" w:cs="DejaVu Sans"/>
                <w:i w:val="false"/>
                <w:b w:val="false"/>
                <w:u w:val="none"/>
                <w:vertAlign w:val="superscript"/>
                <w:sz w:val="22"/>
                <w:szCs w:val="22"/>
                <w:color w:val="000000"/>
              </w:rPr>
              <w:t xml:space="preserve">2</w:t>
            </w:r>
            <w:r>
              <w:rPr>
                <w:rFonts w:ascii="DejaVu Sans" w:hAnsi="DejaVu Sans" w:eastAsia="DejaVu Sans" w:cs="DejaVu Sans"/>
                <w:i w:val="false"/>
                <w:b w:val="false"/>
                <w:u w:val="none"/>
                <w:sz w:val="22"/>
                <w:szCs w:val="22"/>
                <w:color w:val="000000"/>
              </w:rPr>
              <w:t xml:space="preserve">Footnote</w:t>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t xml:space="preserve">1</w:t>
            </w:r>
          </w:p>
        </w:tc>
      </w:tr>
    </w:tbl>
    <w:bookmarkStart w:id="45" w:name="section-8"/>
    <w:p>
      <w:pPr>
        <w:pStyle w:val="Heading5"/>
      </w:pPr>
    </w:p>
    <w:bookmarkEnd w:id="45"/>
    <w:bookmarkEnd w:id="46"/>
    <w:bookmarkStart w:id="47" w:name="supplemental-figures"/>
    <w:p>
      <w:pPr>
        <w:pStyle w:val="Heading1"/>
      </w:pPr>
      <w:r>
        <w:t xml:space="preserve">Supplemental figures</w:t>
      </w:r>
    </w:p>
    <w:p>
      <w:pPr>
        <w:jc w:val="center"/>
        <w:pStyle w:val="Figure"/>
      </w:pPr>
      <w:r>
        <w:rPr/>
        <w:drawing>
          <wp:inline distT="0" distB="0" distL="0" distR="0">
            <wp:extent cx="4572000" cy="914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6"/>
                    <a:stretch>
                      <a:fillRect/>
                    </a:stretch>
                  </pic:blipFill>
                  <pic:spPr bwMode="auto">
                    <a:xfrm>
                      <a:off x="0" y="0"/>
                      <a:ext cx="63500" cy="12700"/>
                    </a:xfrm>
                    <a:prstGeom prst="rect">
                      <a:avLst/>
                    </a:prstGeom>
                    <a:noFill/>
                  </pic:spPr>
                </pic:pic>
              </a:graphicData>
            </a:graphic>
          </wp:inline>
        </w:drawing>
      </w:r>
    </w:p>
    <w:p>
      <w:pPr>
        <w:pStyle w:stlname="Image Caption" w:val="ImageCaption"/>
      </w:pPr>
      <w:bookmarkStart w:id="e0b054bc-5128-457a-a6c4-bd54acc8d121" w:name="f-sample-2"/>
      <w:r>
        <w:rPr>
          <w:rFonts w:ascii="Arial" w:hAnsi="Arial" w:eastAsia="Arial" w:cs="Arial"/>
          <w:i w:val="false"/>
          <w:b w:val="true"/>
          <w:u w:val="single"/>
          <w:sz w:val="20"/>
          <w:szCs w:val="20"/>
          <w:color w:val="000000"/>
        </w:rPr>
        <w:t xml:space="preserve">Figure S</w:t>
      </w:r>
      <w:r xmlns:w14="http://schemas.microsoft.com/office/word/2010/wordml">
        <w:rPr>
          <w:rFonts w:ascii="Arial" w:hAnsi="Arial" w:eastAsia="Arial" w:cs="Arial"/>
          <w:i w:val="false"/>
          <w:b w:val="true"/>
          <w:u w:val="single"/>
          <w:sz w:val="20"/>
          <w:szCs w:val="20"/>
          <w:color w:val="000000"/>
        </w:rPr>
        <w:fldChar w:fldCharType="begin" w:dirty="true"/>
      </w:r>
      <w:r xmlns:w14="http://schemas.microsoft.com/office/word/2010/wordml">
        <w:rPr>
          <w:rFonts w:ascii="Arial" w:hAnsi="Arial" w:eastAsia="Arial" w:cs="Arial"/>
          <w:i w:val="false"/>
          <w:b w:val="true"/>
          <w:u w:val="single"/>
          <w:sz w:val="20"/>
          <w:szCs w:val="20"/>
          <w:color w:val="000000"/>
        </w:rPr>
        <w:instrText xml:space="preserve" w:dirty="true">SEQ sfig \* Arabic</w:instrText>
      </w:r>
      <w:r xmlns:w14="http://schemas.microsoft.com/office/word/2010/wordml">
        <w:rPr>
          <w:rFonts w:ascii="Arial" w:hAnsi="Arial" w:eastAsia="Arial" w:cs="Arial"/>
          <w:i w:val="false"/>
          <w:b w:val="true"/>
          <w:u w:val="single"/>
          <w:sz w:val="20"/>
          <w:szCs w:val="20"/>
          <w:color w:val="000000"/>
        </w:rPr>
        <w:fldChar w:fldCharType="end" w:dirty="true"/>
      </w:r>
      <w:bookmarkEnd w:id="e0b054bc-5128-457a-a6c4-bd54acc8d121"/>
      <w:r>
        <w:rPr>
          <w:rFonts w:ascii="Arial" w:hAnsi="Arial" w:eastAsia="Arial" w:cs="Arial"/>
          <w:i w:val="false"/>
          <w:b w:val="true"/>
          <w:u w:val="single"/>
          <w:sz w:val="20"/>
          <w:szCs w:val="20"/>
          <w:color w:val="000000"/>
        </w:rPr>
        <w:t xml:space="preserve">: </w:t>
      </w:r>
      <w:r>
        <w:t xml:space="preserve">A figure caption.</w:t>
      </w:r>
    </w:p>
    <w:bookmarkEnd w:id="47"/>
    <w:sectPr w:rsidR="00506710" w:rsidRPr="00506710" w:rsidSect="00A42BFA">
      <w:footerReference r:id="rId9" w:type="default"/>
      <w:pgSz w:h="15840" w:w="12240"/>
      <w:pgMar w:bottom="1440" w:footer="720" w:gutter="0" w:header="720" w:left="1440" w:right="1440" w:top="144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204A43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35A60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82E10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A2ED25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E215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AF0243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23618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EB400D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9A6705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E06D4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33" Type="http://schemas.openxmlformats.org/officeDocument/2006/relationships/hyperlink" Target="https://doi.org/10.1016/j.drugpo.2018.02.008" TargetMode="External"/>
<Relationship Id="rId31" Type="http://schemas.openxmlformats.org/officeDocument/2006/relationships/hyperlink" Target="https://doi.org/10.1016/j.jval.2017.07.014" TargetMode="External"/>
<Relationship Id="rId34" Type="http://schemas.openxmlformats.org/officeDocument/2006/relationships/image" Target="media/8e156f21a913755caa58c535bef3a8848ce9b412.png"/>
<Relationship Id="rId35" Type="http://schemas.openxmlformats.org/officeDocument/2006/relationships/image" Target="media/3978e70356ca4c91c006787f55d136b7e53dc438.png"/>
<Relationship Id="rId36" Type="http://schemas.openxmlformats.org/officeDocument/2006/relationships/image" Target="media/32c5e57c0ec36e5899de4d60856d8cef98010bd3.png"/>
</Relationships>

</file>

<file path=word/_rels/footnotes.xml.rels><?xml version="1.0" encoding="UTF-8" standalone="yes"?>

<Relationships  xmlns="http://schemas.openxmlformats.org/package/2006/relationships">
<Relationship Id="rId33" Type="http://schemas.openxmlformats.org/officeDocument/2006/relationships/hyperlink" Target="https://doi.org/10.1016/j.drugpo.2018.02.008" TargetMode="External"/>
<Relationship Id="rId31" Type="http://schemas.openxmlformats.org/officeDocument/2006/relationships/hyperlink" Target="https://doi.org/10.1016/j.jval.2017.07.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1137</TotalTime>
  <Pages>2</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Comparisons of SARS-CoV-2 serological surveillance across multiple data sources</dc:title>
  <dc:creator/>
  <cp:keywords/>
  <dcterms:created xsi:type="dcterms:W3CDTF">2024-02-12T09:12:57Z</dcterms:created>
  <dcterms:modified xsi:type="dcterms:W3CDTF">2024-02-12T04:12:58Z</dcterms:modified>
  <cp:lastModifiedBy>yuanyu</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csl">
    <vt:lpwstr>american-medical-association-brackets.csl</vt:lpwstr>
  </property>
  <property fmtid="{D5CDD505-2E9C-101B-9397-08002B2CF9AE}" pid="4" name="ftExtra-cite-unnamed-chunk-2">
    <vt:lpwstr>[1] [2]</vt:lpwstr>
  </property>
  <property fmtid="{D5CDD505-2E9C-101B-9397-08002B2CF9AE}" pid="5" name="ftExtra-cite-unnamed-chunk-5">
    <vt:lpwstr>[1] [2]</vt:lpwstr>
  </property>
  <property fmtid="{D5CDD505-2E9C-101B-9397-08002B2CF9AE}" pid="6" name="header-includes">
    <vt:lpwstr/>
  </property>
  <property fmtid="{D5CDD505-2E9C-101B-9397-08002B2CF9AE}" pid="7" name="output">
    <vt:lpwstr/>
  </property>
</Properties>
</file>