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Model and Application Results Report</w:t>
      </w:r>
    </w:p>
    <w:p>
      <w:pPr>
        <w:jc w:val="center"/>
      </w:pPr>
      <w:r>
        <w:t>Intelligent Solar-Assisted Fish Kiln Monitoring System</w:t>
      </w:r>
    </w:p>
    <w:p>
      <w:r>
        <w:t>Generated: 2026-06-30</w:t>
      </w:r>
    </w:p>
    <w:p>
      <w:pPr>
        <w:pStyle w:val="Heading1"/>
      </w:pPr>
      <w:r>
        <w:t>Executive Summary</w:t>
      </w:r>
    </w:p>
    <w:p>
      <w:r>
        <w:t>This report summarizes the current machine-learning model and application validation results for the fish kiln monitoring system. The model estimates remaining drying time from fish type, weight readings, temperature, humidity, elapsed time, and derived drying measurements.</w:t>
      </w:r>
    </w:p>
    <w:p>
      <w:r>
        <w:t>Important limitation: the current training dataset is synthetic demonstration data generated by the project pipeline. It should be presented as synthetic demonstration data until real experimental drying trials are collected and used for retraining.</w:t>
      </w:r>
    </w:p>
    <w:p>
      <w:pPr>
        <w:pStyle w:val="Heading1"/>
      </w:pPr>
      <w:r>
        <w:t>Dataset and Training Setup</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Dataset file</w:t>
            </w:r>
          </w:p>
        </w:tc>
        <w:tc>
          <w:tcPr>
            <w:tcW w:type="dxa" w:w="4320"/>
          </w:tcPr>
          <w:p>
            <w:r>
              <w:t>backend/synthetic_drying_data.csv</w:t>
            </w:r>
          </w:p>
        </w:tc>
      </w:tr>
      <w:tr>
        <w:tc>
          <w:tcPr>
            <w:tcW w:type="dxa" w:w="4320"/>
          </w:tcPr>
          <w:p>
            <w:r>
              <w:t>Total rows</w:t>
            </w:r>
          </w:p>
        </w:tc>
        <w:tc>
          <w:tcPr>
            <w:tcW w:type="dxa" w:w="4320"/>
          </w:tcPr>
          <w:p>
            <w:r>
              <w:t>2100</w:t>
            </w:r>
          </w:p>
        </w:tc>
      </w:tr>
      <w:tr>
        <w:tc>
          <w:tcPr>
            <w:tcW w:type="dxa" w:w="4320"/>
          </w:tcPr>
          <w:p>
            <w:r>
              <w:t>Fish species</w:t>
            </w:r>
          </w:p>
        </w:tc>
        <w:tc>
          <w:tcPr>
            <w:tcW w:type="dxa" w:w="4320"/>
          </w:tcPr>
          <w:p>
            <w:r>
              <w:t>catfish, mackerel, tilapia</w:t>
            </w:r>
          </w:p>
        </w:tc>
      </w:tr>
      <w:tr>
        <w:tc>
          <w:tcPr>
            <w:tcW w:type="dxa" w:w="4320"/>
          </w:tcPr>
          <w:p>
            <w:r>
              <w:t>Feature count</w:t>
            </w:r>
          </w:p>
        </w:tc>
        <w:tc>
          <w:tcPr>
            <w:tcW w:type="dxa" w:w="4320"/>
          </w:tcPr>
          <w:p>
            <w:r>
              <w:t>11</w:t>
            </w:r>
          </w:p>
        </w:tc>
      </w:tr>
      <w:tr>
        <w:tc>
          <w:tcPr>
            <w:tcW w:type="dxa" w:w="4320"/>
          </w:tcPr>
          <w:p>
            <w:r>
              <w:t>Target variable</w:t>
            </w:r>
          </w:p>
        </w:tc>
        <w:tc>
          <w:tcPr>
            <w:tcW w:type="dxa" w:w="4320"/>
          </w:tcPr>
          <w:p>
            <w:r>
              <w:t>remaining_drying_time</w:t>
            </w:r>
          </w:p>
        </w:tc>
      </w:tr>
      <w:tr>
        <w:tc>
          <w:tcPr>
            <w:tcW w:type="dxa" w:w="4320"/>
          </w:tcPr>
          <w:p>
            <w:r>
              <w:t>Model type</w:t>
            </w:r>
          </w:p>
        </w:tc>
        <w:tc>
          <w:tcPr>
            <w:tcW w:type="dxa" w:w="4320"/>
          </w:tcPr>
          <w:p>
            <w:r>
              <w:t>Random Forest Regression</w:t>
            </w:r>
          </w:p>
        </w:tc>
      </w:tr>
      <w:tr>
        <w:tc>
          <w:tcPr>
            <w:tcW w:type="dxa" w:w="4320"/>
          </w:tcPr>
          <w:p>
            <w:r>
              <w:t>Train/test split</w:t>
            </w:r>
          </w:p>
        </w:tc>
        <w:tc>
          <w:tcPr>
            <w:tcW w:type="dxa" w:w="4320"/>
          </w:tcPr>
          <w:p>
            <w:r>
              <w:t>80% training, 20% testing, random_state=42</w:t>
            </w:r>
          </w:p>
        </w:tc>
      </w:tr>
    </w:tbl>
    <w:p>
      <w:pPr>
        <w:pStyle w:val="Heading1"/>
      </w:pPr>
      <w:r>
        <w:t>Model Evaluation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Meaning</w:t>
            </w:r>
          </w:p>
        </w:tc>
      </w:tr>
      <w:tr>
        <w:tc>
          <w:tcPr>
            <w:tcW w:type="dxa" w:w="2880"/>
          </w:tcPr>
          <w:p>
            <w:r>
              <w:t>MAE</w:t>
            </w:r>
          </w:p>
        </w:tc>
        <w:tc>
          <w:tcPr>
            <w:tcW w:type="dxa" w:w="2880"/>
          </w:tcPr>
          <w:p>
            <w:r>
              <w:t>14.222</w:t>
            </w:r>
          </w:p>
        </w:tc>
        <w:tc>
          <w:tcPr>
            <w:tcW w:type="dxa" w:w="2880"/>
          </w:tcPr>
          <w:p>
            <w:r>
              <w:t>Average absolute error in minutes</w:t>
            </w:r>
          </w:p>
        </w:tc>
      </w:tr>
      <w:tr>
        <w:tc>
          <w:tcPr>
            <w:tcW w:type="dxa" w:w="2880"/>
          </w:tcPr>
          <w:p>
            <w:r>
              <w:t>RMSE</w:t>
            </w:r>
          </w:p>
        </w:tc>
        <w:tc>
          <w:tcPr>
            <w:tcW w:type="dxa" w:w="2880"/>
          </w:tcPr>
          <w:p>
            <w:r>
              <w:t>19.622</w:t>
            </w:r>
          </w:p>
        </w:tc>
        <w:tc>
          <w:tcPr>
            <w:tcW w:type="dxa" w:w="2880"/>
          </w:tcPr>
          <w:p>
            <w:r>
              <w:t>Penalizes larger prediction errors</w:t>
            </w:r>
          </w:p>
        </w:tc>
      </w:tr>
      <w:tr>
        <w:tc>
          <w:tcPr>
            <w:tcW w:type="dxa" w:w="2880"/>
          </w:tcPr>
          <w:p>
            <w:r>
              <w:t>R2</w:t>
            </w:r>
          </w:p>
        </w:tc>
        <w:tc>
          <w:tcPr>
            <w:tcW w:type="dxa" w:w="2880"/>
          </w:tcPr>
          <w:p>
            <w:r>
              <w:t>0.979</w:t>
            </w:r>
          </w:p>
        </w:tc>
        <w:tc>
          <w:tcPr>
            <w:tcW w:type="dxa" w:w="2880"/>
          </w:tcPr>
          <w:p>
            <w:r>
              <w:t>Explained variance on the held-out test set</w:t>
            </w:r>
          </w:p>
        </w:tc>
      </w:tr>
    </w:tbl>
    <w:p>
      <w:r>
        <w:t>A standard classification confusion matrix is not directly applicable because the model is a regression model with a continuous target. To provide a confusion-matrix-like result, the continuous remaining-time output was grouped into operational classes: Ready/complete, Short wait, and Needs drying.</w:t>
      </w:r>
    </w:p>
    <w:p>
      <w:pPr>
        <w:pStyle w:val="Heading2"/>
      </w:pPr>
      <w:r>
        <w:t>Correlation Heatmap</w:t>
      </w:r>
    </w:p>
    <w:p>
      <w:pPr>
        <w:jc w:val="center"/>
      </w:pPr>
      <w:r>
        <w:drawing>
          <wp:inline xmlns:a="http://schemas.openxmlformats.org/drawingml/2006/main" xmlns:pic="http://schemas.openxmlformats.org/drawingml/2006/picture">
            <wp:extent cx="5897880" cy="5041105"/>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897880" cy="5041105"/>
                    </a:xfrm>
                    <a:prstGeom prst="rect"/>
                  </pic:spPr>
                </pic:pic>
              </a:graphicData>
            </a:graphic>
          </wp:inline>
        </w:drawing>
      </w:r>
    </w:p>
    <w:p>
      <w:pPr>
        <w:pStyle w:val="Caption"/>
      </w:pPr>
      <w:r>
        <w:t>Shows relationships between numeric input and derived drying variables. This helps explain which measurements move together during drying.</w:t>
      </w:r>
    </w:p>
    <w:p>
      <w:pPr>
        <w:pStyle w:val="Heading2"/>
      </w:pPr>
      <w:r>
        <w:t>Actual vs Predicted Plot</w:t>
      </w:r>
    </w:p>
    <w:p>
      <w:pPr>
        <w:jc w:val="center"/>
      </w:pPr>
      <w:r>
        <w:drawing>
          <wp:inline xmlns:a="http://schemas.openxmlformats.org/drawingml/2006/main" xmlns:pic="http://schemas.openxmlformats.org/drawingml/2006/picture">
            <wp:extent cx="5897880" cy="4051828"/>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897880" cy="4051828"/>
                    </a:xfrm>
                    <a:prstGeom prst="rect"/>
                  </pic:spPr>
                </pic:pic>
              </a:graphicData>
            </a:graphic>
          </wp:inline>
        </w:drawing>
      </w:r>
    </w:p>
    <w:p>
      <w:pPr>
        <w:pStyle w:val="Caption"/>
      </w:pPr>
      <w:r>
        <w:t>Points close to the diagonal line indicate predictions close to the held-out test target.</w:t>
      </w:r>
    </w:p>
    <w:p>
      <w:pPr>
        <w:pStyle w:val="Heading2"/>
      </w:pPr>
      <w:r>
        <w:t>Residual Distribution</w:t>
      </w:r>
    </w:p>
    <w:p>
      <w:pPr>
        <w:jc w:val="center"/>
      </w:pPr>
      <w:r>
        <w:drawing>
          <wp:inline xmlns:a="http://schemas.openxmlformats.org/drawingml/2006/main" xmlns:pic="http://schemas.openxmlformats.org/drawingml/2006/picture">
            <wp:extent cx="5897880" cy="3622476"/>
            <wp:docPr id="3" name="Picture 3"/>
            <wp:cNvGraphicFramePr>
              <a:graphicFrameLocks noChangeAspect="1"/>
            </wp:cNvGraphicFramePr>
            <a:graphic>
              <a:graphicData uri="http://schemas.openxmlformats.org/drawingml/2006/picture">
                <pic:pic>
                  <pic:nvPicPr>
                    <pic:cNvPr id="0" name="residual_distribution.png"/>
                    <pic:cNvPicPr/>
                  </pic:nvPicPr>
                  <pic:blipFill>
                    <a:blip r:embed="rId11"/>
                    <a:stretch>
                      <a:fillRect/>
                    </a:stretch>
                  </pic:blipFill>
                  <pic:spPr>
                    <a:xfrm>
                      <a:off x="0" y="0"/>
                      <a:ext cx="5897880" cy="3622476"/>
                    </a:xfrm>
                    <a:prstGeom prst="rect"/>
                  </pic:spPr>
                </pic:pic>
              </a:graphicData>
            </a:graphic>
          </wp:inline>
        </w:drawing>
      </w:r>
    </w:p>
    <w:p>
      <w:pPr>
        <w:pStyle w:val="Caption"/>
      </w:pPr>
      <w:r>
        <w:t>Residuals centered near zero indicate that the model is not strongly biased toward overprediction or underprediction.</w:t>
      </w:r>
    </w:p>
    <w:p>
      <w:pPr>
        <w:pStyle w:val="Heading2"/>
      </w:pPr>
      <w:r>
        <w:t>Feature Importance</w:t>
      </w:r>
    </w:p>
    <w:p>
      <w:pPr>
        <w:jc w:val="center"/>
      </w:pPr>
      <w:r>
        <w:drawing>
          <wp:inline xmlns:a="http://schemas.openxmlformats.org/drawingml/2006/main" xmlns:pic="http://schemas.openxmlformats.org/drawingml/2006/picture">
            <wp:extent cx="5897880" cy="397062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897880" cy="3970620"/>
                    </a:xfrm>
                    <a:prstGeom prst="rect"/>
                  </pic:spPr>
                </pic:pic>
              </a:graphicData>
            </a:graphic>
          </wp:inline>
        </w:drawing>
      </w:r>
    </w:p>
    <w:p>
      <w:pPr>
        <w:pStyle w:val="Caption"/>
      </w:pPr>
      <w:r>
        <w:t>Shows the strongest contributors used by the Random Forest model for remaining-time estimation.</w:t>
      </w:r>
    </w:p>
    <w:p>
      <w:pPr>
        <w:pStyle w:val="Heading2"/>
      </w:pPr>
      <w:r>
        <w:t>Operational Decision Matrix</w:t>
      </w:r>
    </w:p>
    <w:p>
      <w:pPr>
        <w:jc w:val="center"/>
      </w:pPr>
      <w:r>
        <w:drawing>
          <wp:inline xmlns:a="http://schemas.openxmlformats.org/drawingml/2006/main" xmlns:pic="http://schemas.openxmlformats.org/drawingml/2006/picture">
            <wp:extent cx="5897880" cy="4829104"/>
            <wp:docPr id="5" name="Picture 5"/>
            <wp:cNvGraphicFramePr>
              <a:graphicFrameLocks noChangeAspect="1"/>
            </wp:cNvGraphicFramePr>
            <a:graphic>
              <a:graphicData uri="http://schemas.openxmlformats.org/drawingml/2006/picture">
                <pic:pic>
                  <pic:nvPicPr>
                    <pic:cNvPr id="0" name="operational_decision_matrix.png"/>
                    <pic:cNvPicPr/>
                  </pic:nvPicPr>
                  <pic:blipFill>
                    <a:blip r:embed="rId13"/>
                    <a:stretch>
                      <a:fillRect/>
                    </a:stretch>
                  </pic:blipFill>
                  <pic:spPr>
                    <a:xfrm>
                      <a:off x="0" y="0"/>
                      <a:ext cx="5897880" cy="4829104"/>
                    </a:xfrm>
                    <a:prstGeom prst="rect"/>
                  </pic:spPr>
                </pic:pic>
              </a:graphicData>
            </a:graphic>
          </wp:inline>
        </w:drawing>
      </w:r>
    </w:p>
    <w:p>
      <w:pPr>
        <w:pStyle w:val="Caption"/>
      </w:pPr>
      <w:r>
        <w:t>A binned regression output matrix used as the practical equivalent of a confusion matrix for the app decision categories.</w:t>
      </w:r>
    </w:p>
    <w:p>
      <w:pPr>
        <w:pStyle w:val="Heading2"/>
      </w:pPr>
      <w:r>
        <w:t>Decision Matrix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Actual / Predicted</w:t>
            </w:r>
          </w:p>
        </w:tc>
        <w:tc>
          <w:tcPr>
            <w:tcW w:type="dxa" w:w="2160"/>
          </w:tcPr>
          <w:p>
            <w:r>
              <w:t>Ready/complete</w:t>
            </w:r>
          </w:p>
        </w:tc>
        <w:tc>
          <w:tcPr>
            <w:tcW w:type="dxa" w:w="2160"/>
          </w:tcPr>
          <w:p>
            <w:r>
              <w:t>Short wait</w:t>
            </w:r>
          </w:p>
        </w:tc>
        <w:tc>
          <w:tcPr>
            <w:tcW w:type="dxa" w:w="2160"/>
          </w:tcPr>
          <w:p>
            <w:r>
              <w:t>Needs drying</w:t>
            </w:r>
          </w:p>
        </w:tc>
      </w:tr>
      <w:tr>
        <w:tc>
          <w:tcPr>
            <w:tcW w:type="dxa" w:w="2160"/>
          </w:tcPr>
          <w:p>
            <w:r>
              <w:t>Ready/complete</w:t>
            </w:r>
          </w:p>
        </w:tc>
        <w:tc>
          <w:tcPr>
            <w:tcW w:type="dxa" w:w="2160"/>
          </w:tcPr>
          <w:p>
            <w:r>
              <w:t>18</w:t>
            </w:r>
          </w:p>
        </w:tc>
        <w:tc>
          <w:tcPr>
            <w:tcW w:type="dxa" w:w="2160"/>
          </w:tcPr>
          <w:p>
            <w:r>
              <w:t>2</w:t>
            </w:r>
          </w:p>
        </w:tc>
        <w:tc>
          <w:tcPr>
            <w:tcW w:type="dxa" w:w="2160"/>
          </w:tcPr>
          <w:p>
            <w:r>
              <w:t>0</w:t>
            </w:r>
          </w:p>
        </w:tc>
      </w:tr>
      <w:tr>
        <w:tc>
          <w:tcPr>
            <w:tcW w:type="dxa" w:w="2160"/>
          </w:tcPr>
          <w:p>
            <w:r>
              <w:t>Short wait</w:t>
            </w:r>
          </w:p>
        </w:tc>
        <w:tc>
          <w:tcPr>
            <w:tcW w:type="dxa" w:w="2160"/>
          </w:tcPr>
          <w:p>
            <w:r>
              <w:t>0</w:t>
            </w:r>
          </w:p>
        </w:tc>
        <w:tc>
          <w:tcPr>
            <w:tcW w:type="dxa" w:w="2160"/>
          </w:tcPr>
          <w:p>
            <w:r>
              <w:t>40</w:t>
            </w:r>
          </w:p>
        </w:tc>
        <w:tc>
          <w:tcPr>
            <w:tcW w:type="dxa" w:w="2160"/>
          </w:tcPr>
          <w:p>
            <w:r>
              <w:t>5</w:t>
            </w:r>
          </w:p>
        </w:tc>
      </w:tr>
      <w:tr>
        <w:tc>
          <w:tcPr>
            <w:tcW w:type="dxa" w:w="2160"/>
          </w:tcPr>
          <w:p>
            <w:r>
              <w:t>Needs drying</w:t>
            </w:r>
          </w:p>
        </w:tc>
        <w:tc>
          <w:tcPr>
            <w:tcW w:type="dxa" w:w="2160"/>
          </w:tcPr>
          <w:p>
            <w:r>
              <w:t>0</w:t>
            </w:r>
          </w:p>
        </w:tc>
        <w:tc>
          <w:tcPr>
            <w:tcW w:type="dxa" w:w="2160"/>
          </w:tcPr>
          <w:p>
            <w:r>
              <w:t>1</w:t>
            </w:r>
          </w:p>
        </w:tc>
        <w:tc>
          <w:tcPr>
            <w:tcW w:type="dxa" w:w="2160"/>
          </w:tcPr>
          <w:p>
            <w:r>
              <w:t>354</w:t>
            </w:r>
          </w:p>
        </w:tc>
      </w:tr>
    </w:tbl>
    <w:p>
      <w:pPr>
        <w:pStyle w:val="Heading1"/>
      </w:pPr>
      <w:r>
        <w:t>Application Validation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Check</w:t>
            </w:r>
          </w:p>
        </w:tc>
        <w:tc>
          <w:tcPr>
            <w:tcW w:type="dxa" w:w="2160"/>
          </w:tcPr>
          <w:p>
            <w:r>
              <w:t>Status</w:t>
            </w:r>
          </w:p>
        </w:tc>
        <w:tc>
          <w:tcPr>
            <w:tcW w:type="dxa" w:w="2160"/>
          </w:tcPr>
          <w:p>
            <w:r>
              <w:t>Evidence</w:t>
            </w:r>
          </w:p>
        </w:tc>
      </w:tr>
      <w:tr>
        <w:tc>
          <w:tcPr>
            <w:tcW w:type="dxa" w:w="2160"/>
          </w:tcPr>
          <w:p>
            <w:r>
              <w:t>Frontend</w:t>
            </w:r>
          </w:p>
        </w:tc>
        <w:tc>
          <w:tcPr>
            <w:tcW w:type="dxa" w:w="2160"/>
          </w:tcPr>
          <w:p>
            <w:r>
              <w:t>Production build</w:t>
            </w:r>
          </w:p>
        </w:tc>
        <w:tc>
          <w:tcPr>
            <w:tcW w:type="dxa" w:w="2160"/>
          </w:tcPr>
          <w:p>
            <w:r>
              <w:t>Pass</w:t>
            </w:r>
          </w:p>
        </w:tc>
        <w:tc>
          <w:tcPr>
            <w:tcW w:type="dxa" w:w="2160"/>
          </w:tcPr>
          <w:p>
            <w:r>
              <w:t>Vite build completed</w:t>
            </w:r>
          </w:p>
        </w:tc>
      </w:tr>
      <w:tr>
        <w:tc>
          <w:tcPr>
            <w:tcW w:type="dxa" w:w="2160"/>
          </w:tcPr>
          <w:p>
            <w:r>
              <w:t>Frontend</w:t>
            </w:r>
          </w:p>
        </w:tc>
        <w:tc>
          <w:tcPr>
            <w:tcW w:type="dxa" w:w="2160"/>
          </w:tcPr>
          <w:p>
            <w:r>
              <w:t>Compiled asset size</w:t>
            </w:r>
          </w:p>
        </w:tc>
        <w:tc>
          <w:tcPr>
            <w:tcW w:type="dxa" w:w="2160"/>
          </w:tcPr>
          <w:p>
            <w:r>
              <w:t>Recorded</w:t>
            </w:r>
          </w:p>
        </w:tc>
        <w:tc>
          <w:tcPr>
            <w:tcW w:type="dxa" w:w="2160"/>
          </w:tcPr>
          <w:p>
            <w:r>
              <w:t>173.5 KB in dist/assets</w:t>
            </w:r>
          </w:p>
        </w:tc>
      </w:tr>
      <w:tr>
        <w:tc>
          <w:tcPr>
            <w:tcW w:type="dxa" w:w="2160"/>
          </w:tcPr>
          <w:p>
            <w:r>
              <w:t>Backend API</w:t>
            </w:r>
          </w:p>
        </w:tc>
        <w:tc>
          <w:tcPr>
            <w:tcW w:type="dxa" w:w="2160"/>
          </w:tcPr>
          <w:p>
            <w:r>
              <w:t>Health endpoint</w:t>
            </w:r>
          </w:p>
        </w:tc>
        <w:tc>
          <w:tcPr>
            <w:tcW w:type="dxa" w:w="2160"/>
          </w:tcPr>
          <w:p>
            <w:r>
              <w:t>Pass</w:t>
            </w:r>
          </w:p>
        </w:tc>
        <w:tc>
          <w:tcPr>
            <w:tcW w:type="dxa" w:w="2160"/>
          </w:tcPr>
          <w:p>
            <w:r>
              <w:t>HTTP 200</w:t>
            </w:r>
          </w:p>
        </w:tc>
      </w:tr>
      <w:tr>
        <w:tc>
          <w:tcPr>
            <w:tcW w:type="dxa" w:w="2160"/>
          </w:tcPr>
          <w:p>
            <w:r>
              <w:t>Backend API</w:t>
            </w:r>
          </w:p>
        </w:tc>
        <w:tc>
          <w:tcPr>
            <w:tcW w:type="dxa" w:w="2160"/>
          </w:tcPr>
          <w:p>
            <w:r>
              <w:t>Model metadata endpoint</w:t>
            </w:r>
          </w:p>
        </w:tc>
        <w:tc>
          <w:tcPr>
            <w:tcW w:type="dxa" w:w="2160"/>
          </w:tcPr>
          <w:p>
            <w:r>
              <w:t>Pass</w:t>
            </w:r>
          </w:p>
        </w:tc>
        <w:tc>
          <w:tcPr>
            <w:tcW w:type="dxa" w:w="2160"/>
          </w:tcPr>
          <w:p>
            <w:r>
              <w:t>HTTP 200</w:t>
            </w:r>
          </w:p>
        </w:tc>
      </w:tr>
      <w:tr>
        <w:tc>
          <w:tcPr>
            <w:tcW w:type="dxa" w:w="2160"/>
          </w:tcPr>
          <w:p>
            <w:r>
              <w:t>Backend API</w:t>
            </w:r>
          </w:p>
        </w:tc>
        <w:tc>
          <w:tcPr>
            <w:tcW w:type="dxa" w:w="2160"/>
          </w:tcPr>
          <w:p>
            <w:r>
              <w:t>Prediction endpoint</w:t>
            </w:r>
          </w:p>
        </w:tc>
        <w:tc>
          <w:tcPr>
            <w:tcW w:type="dxa" w:w="2160"/>
          </w:tcPr>
          <w:p>
            <w:r>
              <w:t>Pass</w:t>
            </w:r>
          </w:p>
        </w:tc>
        <w:tc>
          <w:tcPr>
            <w:tcW w:type="dxa" w:w="2160"/>
          </w:tcPr>
          <w:p>
            <w:r>
              <w:t>HTTP 200; status=Drying in progress; remaining=218.67 min</w:t>
            </w:r>
          </w:p>
        </w:tc>
      </w:tr>
      <w:tr>
        <w:tc>
          <w:tcPr>
            <w:tcW w:type="dxa" w:w="2160"/>
          </w:tcPr>
          <w:p>
            <w:r>
              <w:t>Validation</w:t>
            </w:r>
          </w:p>
        </w:tc>
        <w:tc>
          <w:tcPr>
            <w:tcW w:type="dxa" w:w="2160"/>
          </w:tcPr>
          <w:p>
            <w:r>
              <w:t>Reject humidity above 100%</w:t>
            </w:r>
          </w:p>
        </w:tc>
        <w:tc>
          <w:tcPr>
            <w:tcW w:type="dxa" w:w="2160"/>
          </w:tcPr>
          <w:p>
            <w:r>
              <w:t>Pass</w:t>
            </w:r>
          </w:p>
        </w:tc>
        <w:tc>
          <w:tcPr>
            <w:tcW w:type="dxa" w:w="2160"/>
          </w:tcPr>
          <w:p>
            <w:r>
              <w:t>HTTP 400</w:t>
            </w:r>
          </w:p>
        </w:tc>
      </w:tr>
      <w:tr>
        <w:tc>
          <w:tcPr>
            <w:tcW w:type="dxa" w:w="2160"/>
          </w:tcPr>
          <w:p>
            <w:r>
              <w:t>Validation</w:t>
            </w:r>
          </w:p>
        </w:tc>
        <w:tc>
          <w:tcPr>
            <w:tcW w:type="dxa" w:w="2160"/>
          </w:tcPr>
          <w:p>
            <w:r>
              <w:t>Reject unsupported fish type</w:t>
            </w:r>
          </w:p>
        </w:tc>
        <w:tc>
          <w:tcPr>
            <w:tcW w:type="dxa" w:w="2160"/>
          </w:tcPr>
          <w:p>
            <w:r>
              <w:t>Pass</w:t>
            </w:r>
          </w:p>
        </w:tc>
        <w:tc>
          <w:tcPr>
            <w:tcW w:type="dxa" w:w="2160"/>
          </w:tcPr>
          <w:p>
            <w:r>
              <w:t>HTTP 400</w:t>
            </w:r>
          </w:p>
        </w:tc>
      </w:tr>
    </w:tbl>
    <w:p>
      <w:pPr>
        <w:pStyle w:val="Heading2"/>
      </w:pPr>
      <w:r>
        <w:t>Hosted Response-Time Evaluation</w:t>
      </w:r>
    </w:p>
    <w:p>
      <w:pPr>
        <w:jc w:val="center"/>
      </w:pPr>
      <w:r>
        <w:drawing>
          <wp:inline xmlns:a="http://schemas.openxmlformats.org/drawingml/2006/main" xmlns:pic="http://schemas.openxmlformats.org/drawingml/2006/picture">
            <wp:extent cx="5897880" cy="2541484"/>
            <wp:docPr id="6" name="Picture 6"/>
            <wp:cNvGraphicFramePr>
              <a:graphicFrameLocks noChangeAspect="1"/>
            </wp:cNvGraphicFramePr>
            <a:graphic>
              <a:graphicData uri="http://schemas.openxmlformats.org/drawingml/2006/picture">
                <pic:pic>
                  <pic:nvPicPr>
                    <pic:cNvPr id="0" name="06_online_hosted_response_time.png"/>
                    <pic:cNvPicPr/>
                  </pic:nvPicPr>
                  <pic:blipFill>
                    <a:blip r:embed="rId14"/>
                    <a:stretch>
                      <a:fillRect/>
                    </a:stretch>
                  </pic:blipFill>
                  <pic:spPr>
                    <a:xfrm>
                      <a:off x="0" y="0"/>
                      <a:ext cx="5897880" cy="2541484"/>
                    </a:xfrm>
                    <a:prstGeom prst="rect"/>
                  </pic:spPr>
                </pic:pic>
              </a:graphicData>
            </a:graphic>
          </wp:inline>
        </w:drawing>
      </w:r>
    </w:p>
    <w:p>
      <w:pPr>
        <w:pStyle w:val="Caption"/>
      </w:pPr>
      <w:r>
        <w:t>Warm online response-time measurements from this PC/network to the hosted Vercel frontend and Render backend.</w:t>
      </w:r>
    </w:p>
    <w:p>
      <w:pPr>
        <w:pStyle w:val="Heading2"/>
      </w:pPr>
      <w:r>
        <w:t>Render Cold-Start Evaluation</w:t>
      </w:r>
    </w:p>
    <w:p>
      <w:pPr>
        <w:jc w:val="center"/>
      </w:pPr>
      <w:r>
        <w:drawing>
          <wp:inline xmlns:a="http://schemas.openxmlformats.org/drawingml/2006/main" xmlns:pic="http://schemas.openxmlformats.org/drawingml/2006/picture">
            <wp:extent cx="5897880" cy="2506031"/>
            <wp:docPr id="7" name="Picture 7"/>
            <wp:cNvGraphicFramePr>
              <a:graphicFrameLocks noChangeAspect="1"/>
            </wp:cNvGraphicFramePr>
            <a:graphic>
              <a:graphicData uri="http://schemas.openxmlformats.org/drawingml/2006/picture">
                <pic:pic>
                  <pic:nvPicPr>
                    <pic:cNvPr id="0" name="07_render_cold_start_summary.png"/>
                    <pic:cNvPicPr/>
                  </pic:nvPicPr>
                  <pic:blipFill>
                    <a:blip r:embed="rId15"/>
                    <a:stretch>
                      <a:fillRect/>
                    </a:stretch>
                  </pic:blipFill>
                  <pic:spPr>
                    <a:xfrm>
                      <a:off x="0" y="0"/>
                      <a:ext cx="5897880" cy="2506031"/>
                    </a:xfrm>
                    <a:prstGeom prst="rect"/>
                  </pic:spPr>
                </pic:pic>
              </a:graphicData>
            </a:graphic>
          </wp:inline>
        </w:drawing>
      </w:r>
    </w:p>
    <w:p>
      <w:pPr>
        <w:pStyle w:val="Caption"/>
      </w:pPr>
      <w:r>
        <w:t>Separates Render free-tier cold-start delay from normal warm API response time.</w:t>
      </w:r>
    </w:p>
    <w:p>
      <w:pPr>
        <w:pStyle w:val="Heading1"/>
      </w:pPr>
      <w:r>
        <w:t>Demo Prediction Result</w:t>
      </w:r>
    </w:p>
    <w:tbl>
      <w:tblPr>
        <w:tblStyle w:val="TableGrid"/>
        <w:tblW w:type="auto" w:w="0"/>
        <w:tblLook w:firstColumn="1" w:firstRow="1" w:lastColumn="0" w:lastRow="0" w:noHBand="0" w:noVBand="1" w:val="04A0"/>
      </w:tblPr>
      <w:tblGrid>
        <w:gridCol w:w="4320"/>
        <w:gridCol w:w="4320"/>
      </w:tblGrid>
      <w:tr>
        <w:tc>
          <w:tcPr>
            <w:tcW w:type="dxa" w:w="4320"/>
          </w:tcPr>
          <w:p>
            <w:r>
              <w:t>Output</w:t>
            </w:r>
          </w:p>
        </w:tc>
        <w:tc>
          <w:tcPr>
            <w:tcW w:type="dxa" w:w="4320"/>
          </w:tcPr>
          <w:p>
            <w:r>
              <w:t>Value</w:t>
            </w:r>
          </w:p>
        </w:tc>
      </w:tr>
      <w:tr>
        <w:tc>
          <w:tcPr>
            <w:tcW w:type="dxa" w:w="4320"/>
          </w:tcPr>
          <w:p>
            <w:r>
              <w:t>Fish type</w:t>
            </w:r>
          </w:p>
        </w:tc>
        <w:tc>
          <w:tcPr>
            <w:tcW w:type="dxa" w:w="4320"/>
          </w:tcPr>
          <w:p>
            <w:r>
              <w:t>catfish</w:t>
            </w:r>
          </w:p>
        </w:tc>
      </w:tr>
      <w:tr>
        <w:tc>
          <w:tcPr>
            <w:tcW w:type="dxa" w:w="4320"/>
          </w:tcPr>
          <w:p>
            <w:r>
              <w:t>Estimated moisture content</w:t>
            </w:r>
          </w:p>
        </w:tc>
        <w:tc>
          <w:tcPr>
            <w:tcW w:type="dxa" w:w="4320"/>
          </w:tcPr>
          <w:p>
            <w:r>
              <w:t>50.0%</w:t>
            </w:r>
          </w:p>
        </w:tc>
      </w:tr>
      <w:tr>
        <w:tc>
          <w:tcPr>
            <w:tcW w:type="dxa" w:w="4320"/>
          </w:tcPr>
          <w:p>
            <w:r>
              <w:t>Drying progress</w:t>
            </w:r>
          </w:p>
        </w:tc>
        <w:tc>
          <w:tcPr>
            <w:tcW w:type="dxa" w:w="4320"/>
          </w:tcPr>
          <w:p>
            <w:r>
              <w:t>30.0%</w:t>
            </w:r>
          </w:p>
        </w:tc>
      </w:tr>
      <w:tr>
        <w:tc>
          <w:tcPr>
            <w:tcW w:type="dxa" w:w="4320"/>
          </w:tcPr>
          <w:p>
            <w:r>
              <w:t>Estimated remaining time</w:t>
            </w:r>
          </w:p>
        </w:tc>
        <w:tc>
          <w:tcPr>
            <w:tcW w:type="dxa" w:w="4320"/>
          </w:tcPr>
          <w:p>
            <w:r>
              <w:t>218.67 minutes</w:t>
            </w:r>
          </w:p>
        </w:tc>
      </w:tr>
      <w:tr>
        <w:tc>
          <w:tcPr>
            <w:tcW w:type="dxa" w:w="4320"/>
          </w:tcPr>
          <w:p>
            <w:r>
              <w:t>Drying status</w:t>
            </w:r>
          </w:p>
        </w:tc>
        <w:tc>
          <w:tcPr>
            <w:tcW w:type="dxa" w:w="4320"/>
          </w:tcPr>
          <w:p>
            <w:r>
              <w:t>Drying in progress</w:t>
            </w:r>
          </w:p>
        </w:tc>
      </w:tr>
      <w:tr>
        <w:tc>
          <w:tcPr>
            <w:tcW w:type="dxa" w:w="4320"/>
          </w:tcPr>
          <w:p>
            <w:r>
              <w:t>Alerts</w:t>
            </w:r>
          </w:p>
        </w:tc>
        <w:tc>
          <w:tcPr>
            <w:tcW w:type="dxa" w:w="4320"/>
          </w:tcPr>
          <w:p>
            <w:r>
              <w:t>None</w:t>
            </w:r>
          </w:p>
        </w:tc>
      </w:tr>
    </w:tbl>
    <w:p>
      <w:pPr>
        <w:pStyle w:val="Heading1"/>
      </w:pPr>
      <w:r>
        <w:t>Supervisor Explanation Notes</w:t>
      </w:r>
    </w:p>
    <w:p>
      <w:r>
        <w:t>The system combines physical drying calculations with an ML model that predicts remaining drying time.</w:t>
      </w:r>
    </w:p>
    <w:p>
      <w:r>
        <w:t>Weight loss is used to estimate current moisture content and drying progress toward the 15% target moisture level.</w:t>
      </w:r>
    </w:p>
    <w:p>
      <w:r>
        <w:t>The current model is trained on synthetic data, so it proves the workflow and app logic but should be retrained with real kiln experiment data.</w:t>
      </w:r>
    </w:p>
    <w:p>
      <w:r>
        <w:t>Regression results are reported with MAE, RMSE, R2, residual plots, feature importance, and actual-vs-predicted plots.</w:t>
      </w:r>
    </w:p>
    <w:p>
      <w:r>
        <w:t>The app was validated through production build checks, API health checks, prediction checks, and bad-input validation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201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20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201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