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line="432" w:lineRule="auto"/>
      </w:pPr>
      <w:r>
        <w:rPr>
          <w:sz w:val="23"/>
          <w:color w:val="4A4A46"/>
          <w:rFonts w:ascii="Inter" w:hAnsi="Inter"/>
        </w:rPr>
        <w:t xml:space="preserve">Altrune is a 3D visualization studio crafting architectural imagery, product renders and spatial studies. We work with architects, developers and designers to turn drawings into light, texture and atmosphere.</w:t>
      </w:r>
    </w:p>
    <w:sectPr>
      <w:pgSz w:w="12240" w:h="15840"/>
      <w:pgMar w:top="1440" w:right="1440" w:bottom="1440" w:left="1440"/>
    </w:sectPr>
  </w:body>
</w:document>
</file>