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POLYMARKET GAP ANALYSIS</w:t>
      </w:r>
    </w:p>
    <w:p>
      <w:pPr>
        <w:spacing w:after="40"/>
        <w:jc w:val="center"/>
      </w:pPr>
      <w:r>
        <w:rPr>
          <w:i/>
          <w:iCs/>
          <w:color w:val="666666"/>
        </w:rPr>
        <w:t xml:space="preserve">Process, Criteria, and Core Findings</w:t>
      </w:r>
    </w:p>
    <w:p>
      <w:pPr>
        <w:spacing w:after="400"/>
        <w:jc w:val="center"/>
      </w:pPr>
      <w:r>
        <w:rPr>
          <w:i/>
          <w:iCs/>
          <w:color w:val="666666"/>
        </w:rPr>
        <w:t xml:space="preserve">March 27, 2026</w:t>
      </w:r>
    </w:p>
    <w:p>
      <w:pPr>
        <w:pStyle w:val="Heading1"/>
      </w:pPr>
      <w:r>
        <w:t xml:space="preserve">Executive Summary</w:t>
      </w:r>
    </w:p>
    <w:p>
      <w:pPr>
        <w:spacing w:after="160" w:line="320"/>
      </w:pPr>
      <w:r>
        <w:t xml:space="preserve">This analysis maps Polymarket’s existing market coverage across all categories and identifies specific expansion opportunities ranked by estimated attainable volume. The research involved systematically fetching and verifying data from every major Polymarket category page, cross-referencing with third-party sources, and iteratively correcting initial assumptions against actual platform data.</w:t>
      </w:r>
    </w:p>
    <w:p>
      <w:pPr>
        <w:spacing w:after="160" w:line="320"/>
      </w:pPr>
      <w:r>
        <w:rPr>
          <w:b/>
          <w:bCs/>
        </w:rPr>
        <w:t xml:space="preserve">Key finding: </w:t>
      </w:r>
      <w:r>
        <w:t xml:space="preserve">Polymarket’s coverage is significantly more comprehensive than it initially appears. Many categories that seemed underdeveloped (Economy, Weather/Climate, Legal/Courts, Real Estate/Housing) already have hundreds of active markets. The genuine gaps are narrower and more specific than a surface-level review would suggest. The highest-value opportunities are structural derivatives of existing high-volume categories, not entirely new market types.</w:t>
      </w:r>
    </w:p>
    <w:p>
      <w:pPr>
        <w:spacing w:after="80"/>
      </w:pPr>
      <w:r>
        <w:t xml:space="preserve"/>
      </w:r>
    </w:p>
    <w:p>
      <w:pPr>
        <w:pStyle w:val="Heading1"/>
      </w:pPr>
      <w:r>
        <w:t xml:space="preserve">Process and Methodology</w:t>
      </w:r>
    </w:p>
    <w:p>
      <w:pPr>
        <w:pStyle w:val="Heading2"/>
      </w:pPr>
      <w:r>
        <w:t xml:space="preserve">Data Collection</w:t>
      </w:r>
    </w:p>
    <w:p>
      <w:pPr>
        <w:spacing w:after="160" w:line="320"/>
      </w:pPr>
      <w:r>
        <w:t xml:space="preserve">Market counts and volumes were sourced from Polymarket prediction tag pages (e.g., /predictions/crypto, /predictions/ai, /predictions/economy). We used tag-based totals rather than subcategory page grid counts because markets are cross-tagged across categories, and tag totals represent total market exposure per domain. All figures were verified as of March 27, 2026.</w:t>
      </w:r>
    </w:p>
    <w:p>
      <w:pPr>
        <w:spacing w:after="160" w:line="320"/>
      </w:pPr>
      <w:r>
        <w:rPr>
          <w:b/>
          <w:bCs/>
        </w:rPr>
        <w:t xml:space="preserve">Important distinction: </w:t>
      </w:r>
      <w:r>
        <w:t xml:space="preserve">Polymarket’s subcategory grids show filtered views (e.g., the crypto landing page grid showed 242 markets), while the tag-based count captures all markets tagged with that topic (5,399 for Crypto). The tag-based approach is more accurate for assessing total category exposure.</w:t>
      </w:r>
    </w:p>
    <w:p>
      <w:pPr>
        <w:pStyle w:val="Heading2"/>
      </w:pPr>
      <w:r>
        <w:t xml:space="preserve">Evaluation Criteria</w:t>
      </w:r>
    </w:p>
    <w:p>
      <w:pPr>
        <w:spacing w:after="160" w:line="320"/>
      </w:pPr>
      <w:r>
        <w:t xml:space="preserve">Each identified gap was assessed against four dimensions:</w:t>
      </w:r>
    </w:p>
    <w:p>
      <w:pPr>
        <w:pStyle w:val="ListParagraph"/>
        <w:numPr>
          <w:ilvl w:val="0"/>
          <w:numId w:val="2"/>
        </w:numPr>
        <w:spacing w:after="80" w:line="300"/>
      </w:pPr>
      <w:r>
        <w:rPr>
          <w:b/>
          <w:bCs/>
        </w:rPr>
        <w:t xml:space="preserve">Estimated attainable volume</w:t>
      </w:r>
      <w:r>
        <w:t xml:space="preserve"> — derived from comparable existing markets, traditional market analogs (sportsbook handle, options volume, futures notional), and audience size estimates.</w:t>
      </w:r>
    </w:p>
    <w:p>
      <w:pPr>
        <w:pStyle w:val="ListParagraph"/>
        <w:numPr>
          <w:ilvl w:val="0"/>
          <w:numId w:val="2"/>
        </w:numPr>
        <w:spacing w:after="80" w:line="300"/>
      </w:pPr>
      <w:r>
        <w:rPr>
          <w:b/>
          <w:bCs/>
        </w:rPr>
        <w:t xml:space="preserve">Impact</w:t>
      </w:r>
      <w:r>
        <w:t xml:space="preserve"> — rated High/Medium/Low based on potential to meaningfully increase platform volume or attract new user segments.</w:t>
      </w:r>
    </w:p>
    <w:p>
      <w:pPr>
        <w:pStyle w:val="ListParagraph"/>
        <w:numPr>
          <w:ilvl w:val="0"/>
          <w:numId w:val="2"/>
        </w:numPr>
        <w:spacing w:after="80" w:line="300"/>
      </w:pPr>
      <w:r>
        <w:rPr>
          <w:b/>
          <w:bCs/>
        </w:rPr>
        <w:t xml:space="preserve">Implementation effort</w:t>
      </w:r>
      <w:r>
        <w:t xml:space="preserve"> — rated Low/Medium/Hard based on resolution source complexity, regulatory requirements, and technical infrastructure needed.</w:t>
      </w:r>
    </w:p>
    <w:p>
      <w:pPr>
        <w:pStyle w:val="ListParagraph"/>
        <w:numPr>
          <w:ilvl w:val="0"/>
          <w:numId w:val="2"/>
        </w:numPr>
        <w:spacing w:after="80" w:line="300"/>
      </w:pPr>
      <w:r>
        <w:rPr>
          <w:b/>
          <w:bCs/>
        </w:rPr>
        <w:t xml:space="preserve">Existing coverage verification</w:t>
      </w:r>
      <w:r>
        <w:t xml:space="preserve"> — every proposed gap was checked against live Polymarket data to confirm it doesn’t already exist. Multiple gaps were removed during this process.</w:t>
      </w:r>
    </w:p>
    <w:p>
      <w:pPr>
        <w:pStyle w:val="Heading2"/>
      </w:pPr>
      <w:r>
        <w:t xml:space="preserve">Iterative Correction Process</w:t>
      </w:r>
    </w:p>
    <w:p>
      <w:pPr>
        <w:spacing w:after="160" w:line="320"/>
      </w:pPr>
      <w:r>
        <w:t xml:space="preserve">The analysis underwent 9 major revisions as initial assumptions were corrected against verified data. Key corrections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Initial Assessment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Corrected 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Crypto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242 markets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5,399 tagged markets, $105.2M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243+ markets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470 markets, $21.1M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Culture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367 mkts, &lt;$5M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372 mkts, $149.1M (reclassified Tier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Economy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Tier 3 ($1-10M)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270 mkts, $77.1M (reclassified Tier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ECB/BOJ/BOE rates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Gap (not on platform)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Already exist (133 Interest Rate mkts, $538.4M)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Legal/Courts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category needed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105 SCOTUS markets already exist ($2M+)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 Estate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category needed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330+ markets already exist ($19.1M+)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Emergency rate cut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Gap (not on platform)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Already exists (‘Fed emergency rate cut before 2027?’)</w:t>
            </w:r>
          </w:p>
        </w:tc>
      </w:tr>
    </w:tbl>
    <w:p>
      <w:pPr>
        <w:spacing w:after="80"/>
      </w:pPr>
      <w:r>
        <w:t xml:space="preserve"/>
      </w:r>
    </w:p>
    <w:p>
      <w:pPr>
        <w:pStyle w:val="Heading1"/>
      </w:pPr>
      <w:r>
        <w:t xml:space="preserve">Core Findings by Tier</w:t>
      </w:r>
    </w:p>
    <w:p>
      <w:pPr>
        <w:pStyle w:val="Heading2"/>
      </w:pPr>
      <w:r>
        <w:t xml:space="preserve">Tier 1: $100M+ Volume Categories</w:t>
      </w:r>
    </w:p>
    <w:p>
      <w:pPr>
        <w:spacing w:after="160" w:line="320"/>
      </w:pPr>
      <w:r>
        <w:t xml:space="preserve">Five categories generate the bulk of Polymarket’s volume. Within these, the highest-value gaps are:</w:t>
      </w:r>
    </w:p>
    <w:p>
      <w:pPr>
        <w:pStyle w:val="ListParagraph"/>
        <w:numPr>
          <w:ilvl w:val="0"/>
          <w:numId w:val="3"/>
        </w:numPr>
        <w:spacing w:after="80" w:line="300"/>
      </w:pPr>
      <w:r>
        <w:rPr>
          <w:b/>
          <w:bCs/>
        </w:rPr>
        <w:t xml:space="preserve">VP Nominee Markets ($90-180M est.)</w:t>
      </w:r>
      <w:r>
        <w:t xml:space="preserve"> — The single largest gap across all categories. The 2028 presidential nominee markets collectively exceed $1.8B in volume, yet VP selection—which drove 2-5% swings in presidential odds in 2024—has zero coverage.</w:t>
      </w:r>
    </w:p>
    <w:p>
      <w:pPr>
        <w:pStyle w:val="ListParagraph"/>
        <w:numPr>
          <w:ilvl w:val="0"/>
          <w:numId w:val="3"/>
        </w:numPr>
        <w:spacing w:after="80" w:line="300"/>
      </w:pPr>
      <w:r>
        <w:rPr>
          <w:b/>
          <w:bCs/>
        </w:rPr>
        <w:t xml:space="preserve">Sports player props ($100M+/yr est.)</w:t>
      </w:r>
      <w:r>
        <w:t xml:space="preserve"> — The highest-volume segment in traditional sportsbooks. Per-game over/under lines in binary format fit Polymarket’s structure perfectly. However, this faces the highest regulatory risk of any gap identified (see Assessment Matrix).</w:t>
      </w:r>
    </w:p>
    <w:p>
      <w:pPr>
        <w:pStyle w:val="ListParagraph"/>
        <w:numPr>
          <w:ilvl w:val="0"/>
          <w:numId w:val="3"/>
        </w:numPr>
        <w:spacing w:after="80" w:line="300"/>
      </w:pPr>
      <w:r>
        <w:rPr>
          <w:b/>
          <w:bCs/>
        </w:rPr>
        <w:t xml:space="preserve">Primary state-by-state winners ($50-100M est.)</w:t>
      </w:r>
      <w:r>
        <w:t xml:space="preserve"> — Sequential engagement from Iowa through Super Tuesday creates months of sustained trading activity.</w:t>
      </w:r>
    </w:p>
    <w:p>
      <w:pPr>
        <w:pStyle w:val="ListParagraph"/>
        <w:numPr>
          <w:ilvl w:val="0"/>
          <w:numId w:val="3"/>
        </w:numPr>
        <w:spacing w:after="80" w:line="300"/>
      </w:pPr>
      <w:r>
        <w:rPr>
          <w:b/>
          <w:bCs/>
        </w:rPr>
        <w:t xml:space="preserve">Sports futures: NHL, golf, MLB expansion, award markets, win totals ($150-300M/yr combined est.)</w:t>
      </w:r>
      <w:r>
        <w:t xml:space="preserve"> — Multiple proven sportsbook formats with established demand that Polymarket doesn’t yet offer.</w:t>
      </w:r>
    </w:p>
    <w:p>
      <w:pPr>
        <w:spacing w:after="160" w:line="320"/>
      </w:pPr>
      <w:r>
        <w:rPr>
          <w:b/>
          <w:bCs/>
        </w:rPr>
        <w:t xml:space="preserve">Notably absent from Tier 1 gaps: </w:t>
      </w:r>
      <w:r>
        <w:t xml:space="preserve">Fed/monetary policy expansion. Initially assessed as the #2 gap at $50-100M, verification revealed that ECB, BOJ, BOE, BOC, and SNB rate decision markets already exist across 133 Interest Rate markets ($538.4M total). Only the Dot Plot/SEP market format remains as a genuine gap.</w:t>
      </w:r>
    </w:p>
    <w:p>
      <w:pPr>
        <w:pStyle w:val="Heading2"/>
      </w:pPr>
      <w:r>
        <w:t xml:space="preserve">Tier 2: $10M-$100M Volume Categories</w:t>
      </w:r>
    </w:p>
    <w:p>
      <w:pPr>
        <w:spacing w:after="160" w:line="320"/>
      </w:pPr>
      <w:r>
        <w:t xml:space="preserve">Six categories, including two reclassified upward (Culture at $149.1M, Economy at $77.1M). Key gaps:</w:t>
      </w:r>
    </w:p>
    <w:p>
      <w:pPr>
        <w:pStyle w:val="ListParagraph"/>
        <w:numPr>
          <w:ilvl w:val="0"/>
          <w:numId w:val="3"/>
        </w:numPr>
        <w:spacing w:after="80" w:line="300"/>
      </w:pPr>
      <w:r>
        <w:rPr>
          <w:b/>
          <w:bCs/>
        </w:rPr>
        <w:t xml:space="preserve">Reconciliation/omnibus passage ($15-30M)</w:t>
      </w:r>
      <w:r>
        <w:t xml:space="preserve"> and </w:t>
      </w:r>
      <w:r>
        <w:rPr>
          <w:b/>
          <w:bCs/>
        </w:rPr>
        <w:t xml:space="preserve">debt ceiling ($10-30M)</w:t>
      </w:r>
      <w:r>
        <w:t xml:space="preserve"> — Legislative outcome markets that fill the gap between recurring shutdown markets.</w:t>
      </w:r>
    </w:p>
    <w:p>
      <w:pPr>
        <w:pStyle w:val="ListParagraph"/>
        <w:numPr>
          <w:ilvl w:val="0"/>
          <w:numId w:val="3"/>
        </w:numPr>
        <w:spacing w:after="80" w:line="300"/>
      </w:pPr>
      <w:r>
        <w:rPr>
          <w:b/>
          <w:bCs/>
        </w:rPr>
        <w:t xml:space="preserve">Net seats gained/lost for midterms ($10-30M)</w:t>
      </w:r>
      <w:r>
        <w:t xml:space="preserve"> — Solves the fragmentation problem where 435 individual House races each generate $0-6K.</w:t>
      </w:r>
    </w:p>
    <w:p>
      <w:pPr>
        <w:pStyle w:val="ListParagraph"/>
        <w:numPr>
          <w:ilvl w:val="0"/>
          <w:numId w:val="3"/>
        </w:numPr>
        <w:spacing w:after="80" w:line="300"/>
      </w:pPr>
      <w:r>
        <w:rPr>
          <w:b/>
          <w:bCs/>
        </w:rPr>
        <w:t xml:space="preserve">Trump Truth Social post count ($15-25M/yr)</w:t>
      </w:r>
      <w:r>
        <w:t xml:space="preserve"> — The only viable expansion of the proven tweet-count format beyond Musk.</w:t>
      </w:r>
    </w:p>
    <w:p>
      <w:pPr>
        <w:pStyle w:val="Heading2"/>
      </w:pPr>
      <w:r>
        <w:t xml:space="preserve">Tier 3: $1M-$10M Volume Categories</w:t>
      </w:r>
    </w:p>
    <w:p>
      <w:pPr>
        <w:spacing w:after="160" w:line="320"/>
      </w:pPr>
      <w:r>
        <w:t xml:space="preserve">Three categories with narrow remaining gaps. AI (470 markets, $21.1M) and Weather/Climate (440+ markets) are both more developed than initially assessed. Gaps are incremental: AI benchmark scores ($2-5M), AI regulation policy ($3-8M), per-storm hurricane tracking ($2-5M).</w:t>
      </w:r>
    </w:p>
    <w:p>
      <w:pPr>
        <w:pStyle w:val="Heading2"/>
      </w:pPr>
      <w:r>
        <w:t xml:space="preserve">Tier 4: New and Reclassified Categories</w:t>
      </w:r>
    </w:p>
    <w:p>
      <w:pPr>
        <w:spacing w:after="160" w:line="320"/>
      </w:pPr>
      <w:r>
        <w:rPr>
          <w:b/>
          <w:bCs/>
        </w:rPr>
        <w:t xml:space="preserve">Critical finding: </w:t>
      </w:r>
      <w:r>
        <w:t xml:space="preserve">Of eight initially proposed new top-level categories, only one is genuinely absent from Polymarket:</w:t>
      </w:r>
    </w:p>
    <w:p>
      <w:pPr>
        <w:pStyle w:val="ListParagraph"/>
        <w:numPr>
          <w:ilvl w:val="0"/>
          <w:numId w:val="3"/>
        </w:numPr>
        <w:spacing w:after="80" w:line="300"/>
      </w:pPr>
      <w:r>
        <w:rPr>
          <w:b/>
          <w:bCs/>
        </w:rPr>
        <w:t xml:space="preserve">Health &amp; Biotech ($50-150M/yr est.)</w:t>
      </w:r>
      <w:r>
        <w:t xml:space="preserve"> — Zero FDA, clinical trial, or drug approval markets exist. 40+ PDUFA dates per year provide known-date binary outcomes. An entire ecosystem of tracking tools (fdatracker.com, pdufa.bio, CatalystAlert) demonstrates existing demand for probabilistic forecasting of drug approvals. This is the strongest new category candidate.</w:t>
      </w:r>
    </w:p>
    <w:p>
      <w:pPr>
        <w:spacing w:after="160" w:line="320"/>
      </w:pPr>
      <w:r>
        <w:t xml:space="preserve">The remaining seven candidates were reclassified: Legal/Courts (already 105 SCOTUS markets), Real Estate/Housing (already 330+ markets), Space (already 17 markets under Climate &amp; Science), and four candidates (Energy, Social Media, Startups, Labor) removed entirely as better served by existing categories.</w:t>
      </w:r>
    </w:p>
    <w:p>
      <w:pPr>
        <w:spacing w:after="80"/>
      </w:pPr>
      <w:r>
        <w:t xml:space="preserve"/>
      </w:r>
    </w:p>
    <w:p>
      <w:pPr>
        <w:pStyle w:val="Heading1"/>
      </w:pPr>
      <w:r>
        <w:t xml:space="preserve">Conclusion</w:t>
      </w:r>
    </w:p>
    <w:p>
      <w:pPr>
        <w:spacing w:after="160" w:line="320"/>
      </w:pPr>
      <w:r>
        <w:t xml:space="preserve">Polymarket’s market coverage is far more comprehensive than external perception suggests. The platform already hosts thousands of markets across politics, crypto, sports, geopolitics, finance, economy, weather, AI, culture, and more. The genuine opportunities fall into three categories: (1) structural derivatives of proven high-volume markets (VP nominees, state primaries, aggregated midterm indices), (2) format extensions into proven sportsbook segments (player props, futures, league expansion), and (3) one genuinely new category (Health &amp; Biotech) that brings a new user segment and clean binary outcomes on known 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2026-03-27T19:54:25.875Z</dcterms:created>
  <dcterms:modified xsi:type="dcterms:W3CDTF">2026-03-27T19:54:25.876Z</dcterms:modified>
</cp:coreProperties>
</file>

<file path=docProps/custom.xml><?xml version="1.0" encoding="utf-8"?>
<Properties xmlns="http://schemas.openxmlformats.org/officeDocument/2006/custom-properties" xmlns:vt="http://schemas.openxmlformats.org/officeDocument/2006/docPropsVTypes"/>
</file>