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2e"/>
          <w:sz w:val="40"/>
          <w:szCs w:val="40"/>
        </w:rPr>
        <w:t xml:space="preserve">POLYMARKET MARKET EXPANSION</w:t>
      </w:r>
    </w:p>
    <w:p>
      <w:pPr>
        <w:spacing w:after="80"/>
        <w:jc w:val="center"/>
      </w:pPr>
      <w:r>
        <w:rPr>
          <w:rFonts w:ascii="Arial" w:cs="Arial" w:eastAsia="Arial" w:hAnsi="Arial"/>
          <w:b/>
          <w:bCs/>
          <w:color w:val="333355"/>
          <w:sz w:val="36"/>
          <w:szCs w:val="36"/>
        </w:rPr>
        <w:t xml:space="preserve">STRATEGIC RECOMMENDATIONS</w:t>
      </w:r>
    </w:p>
    <w:p>
      <w:pPr>
        <w:spacing w:after="40"/>
        <w:jc w:val="center"/>
      </w:pPr>
      <w:r>
        <w:rPr>
          <w:i/>
          <w:iCs/>
          <w:color w:val="666666"/>
        </w:rPr>
        <w:t xml:space="preserve">Final Analysis and Prioritized Action Plan</w:t>
      </w:r>
    </w:p>
    <w:p>
      <w:pPr>
        <w:spacing w:after="400"/>
        <w:jc w:val="center"/>
      </w:pPr>
      <w:r>
        <w:rPr>
          <w:i/>
          <w:iCs/>
          <w:color w:val="666666"/>
        </w:rPr>
        <w:t xml:space="preserve">March 27, 2026</w:t>
      </w:r>
    </w:p>
    <w:p>
      <w:pPr>
        <w:pStyle w:val="Heading1"/>
      </w:pPr>
      <w:r>
        <w:t xml:space="preserve">Thesis</w:t>
      </w:r>
    </w:p>
    <w:p>
      <w:pPr>
        <w:spacing w:after="160" w:line="320"/>
      </w:pPr>
      <w:r>
        <w:t xml:space="preserve">Polymarket’s market coverage is far more comprehensive than commonly understood—the platform already hosts </w:t>
      </w:r>
      <w:r>
        <w:rPr>
          <w:b/>
          <w:bCs/>
        </w:rPr>
        <w:t xml:space="preserve">5,399 crypto markets, 1,638 political markets ($2.2B), 470 AI markets, 372 culture markets ($149.1M), 270 economy markets ($77.1M), 440+ weather/climate markets, and 133 interest rate markets ($538.4M)</w:t>
      </w:r>
      <w:r>
        <w:t xml:space="preserve">. The genuine expansion opportunities are not about filling obvious category gaps; they are about (1) creating structural derivatives of proven high-volume markets, (2) selectively extending into sports formats with defensible regulatory positioning, and (3) launching one genuinely new category that brings a new user segment.</w:t>
      </w:r>
    </w:p>
    <w:p>
      <w:pPr>
        <w:spacing w:after="160" w:line="320"/>
      </w:pPr>
      <w:r>
        <w:t xml:space="preserve">This document presents a prioritized action plan based on two companion analyses: a comprehensive gap analysis verifying existing coverage across every Polymarket category, and an assessment matrix scoring 20 candidates on regulatory risk, wisdom-of-crowds value, and estimated attainable volume.</w:t>
      </w:r>
    </w:p>
    <w:p>
      <w:pPr>
        <w:spacing w:after="80"/>
      </w:pPr>
      <w:r>
        <w:t xml:space="preserve"/>
      </w:r>
    </w:p>
    <w:p>
      <w:pPr>
        <w:pStyle w:val="Heading1"/>
      </w:pPr>
      <w:r>
        <w:t xml:space="preserve">Priority 1: Political Derivatives (Low Risk, High WoC)</w:t>
      </w:r>
    </w:p>
    <w:p>
      <w:pPr>
        <w:spacing w:after="160" w:line="320"/>
      </w:pPr>
      <w:r>
        <w:rPr>
          <w:b/>
          <w:bCs/>
        </w:rPr>
        <w:t xml:space="preserve">Estimated combined volume: $175-370M</w:t>
      </w:r>
      <w:r>
        <w:t xml:space="preserve"> | </w:t>
      </w:r>
      <w:r>
        <w:rPr>
          <w:b/>
          <w:bCs/>
        </w:rPr>
        <w:t xml:space="preserve">Regulatory risk: Low</w:t>
      </w:r>
      <w:r>
        <w:t xml:space="preserve"> | </w:t>
      </w:r>
      <w:r>
        <w:rPr>
          <w:b/>
          <w:bCs/>
        </w:rPr>
        <w:t xml:space="preserve">Implementation: Immediate</w:t>
      </w:r>
    </w:p>
    <w:p>
      <w:pPr>
        <w:spacing w:after="160" w:line="320"/>
      </w:pPr>
      <w:r>
        <w:t xml:space="preserve">Political prediction markets are the most legally validated category following the 2024 Kalshi v. CFTC court victory. They produce the highest wisdom-of-crowds value—prediction markets outperformed polls in 2024, correctly forecasting 6 of 7 swing states and 24 of 27 competitive Senate races. The following markets extend the trading surface of Polymarket’s single largest asset: the 2028 presidential race ($1.7B+ across 118 markets).</w:t>
      </w:r>
    </w:p>
    <w:p>
      <w:pPr>
        <w:pStyle w:val="Heading3"/>
      </w:pPr>
      <w:r>
        <w:t xml:space="preserve">1a. VP Nominee Markets — $90-180M estimated</w:t>
      </w:r>
    </w:p>
    <w:p>
      <w:pPr>
        <w:spacing w:after="160" w:line="320"/>
      </w:pPr>
      <w:r>
        <w:t xml:space="preserve">The 2028 Democratic and Republican nominee markets collectively exceed $1.38B in volume, yet VP selection—which drove 2-5% swings in presidential odds during the 2024 cycle—has zero coverage. VP picks generate weeks of media coverage and directly affect the larger presidential markets. This is the single highest-volume gap identified across the entire platform.</w:t>
      </w:r>
    </w:p>
    <w:p>
      <w:pPr>
        <w:spacing w:after="160" w:line="320"/>
      </w:pPr>
      <w:r>
        <w:rPr>
          <w:b/>
          <w:bCs/>
        </w:rPr>
        <w:t xml:space="preserve">Resolution: </w:t>
      </w:r>
      <w:r>
        <w:t xml:space="preserve">Same mechanics as existing nominee markets. Official party convention proceedings.</w:t>
      </w:r>
    </w:p>
    <w:p>
      <w:pPr>
        <w:spacing w:after="160" w:line="320"/>
      </w:pPr>
      <w:r>
        <w:rPr>
          <w:b/>
          <w:bCs/>
        </w:rPr>
        <w:t xml:space="preserve">Evidence: </w:t>
      </w:r>
      <w:r>
        <w:t xml:space="preserve">Dem Nominee at $922.9M (Mar 27), Winner at $459.7M. PredictIt historically offered VP markets. 2024 VP selection (Harris chose Walz over Shapiro, who led at 68% on Polymarket) demonstrated the forecasting value and narrative intensity of this market type.</w:t>
      </w:r>
    </w:p>
    <w:p>
      <w:pPr>
        <w:pStyle w:val="Heading3"/>
      </w:pPr>
      <w:r>
        <w:t xml:space="preserve">1b. Primary State-by-State Winners — $50-100M estimated</w:t>
      </w:r>
    </w:p>
    <w:p>
      <w:pPr>
        <w:spacing w:after="160" w:line="320"/>
      </w:pPr>
      <w:r>
        <w:t xml:space="preserve">Individual state primary winner markets create a sequential engagement loop spanning January through March of the election year. Each state is an independent binary event with clean resolution via certified results. PredictIt operated these markets for years under CFTC no-action letter.</w:t>
      </w:r>
    </w:p>
    <w:p>
      <w:pPr>
        <w:spacing w:after="160" w:line="320"/>
      </w:pPr>
      <w:r>
        <w:rPr>
          <w:b/>
          <w:bCs/>
        </w:rPr>
        <w:t xml:space="preserve">Evidence: </w:t>
      </w:r>
      <w:r>
        <w:t xml:space="preserve">National polls repeatedly failed to predict Iowa and New Hampshire outcomes. Primary markets provided leading signals of Biden withdrawal pressure weeks before the July 2024 announcement. State-level crowd wisdom captures ground-game effects and local dynamics that national polls miss.</w:t>
      </w:r>
    </w:p>
    <w:p>
      <w:pPr>
        <w:pStyle w:val="Heading3"/>
      </w:pPr>
      <w:r>
        <w:t xml:space="preserve">1c. Aggregated Midterm Markets — $20-55M estimated</w:t>
      </w:r>
    </w:p>
    <w:p>
      <w:pPr>
        <w:spacing w:after="160" w:line="320"/>
      </w:pPr>
      <w:r>
        <w:t xml:space="preserve">The 2026 midterm elections present a fragmentation problem: 435 individual House race markets each generating $0-6K in volume. The solution is aggregated markets that concentrate liquidity where media and public attention already exists:</w:t>
      </w:r>
    </w:p>
    <w:p>
      <w:pPr>
        <w:pStyle w:val="ListParagraph"/>
        <w:numPr>
          <w:ilvl w:val="0"/>
          <w:numId w:val="2"/>
        </w:numPr>
        <w:spacing w:after="80" w:line="300"/>
      </w:pPr>
      <w:r>
        <w:rPr>
          <w:b/>
          <w:bCs/>
        </w:rPr>
        <w:t xml:space="preserve">Net Seats Gained/Lost ($10-30M)</w:t>
      </w:r>
      <w:r>
        <w:t xml:space="preserve"> — How pundits and media discuss midterms. Single market replaces 435 thin ones.</w:t>
      </w:r>
    </w:p>
    <w:p>
      <w:pPr>
        <w:pStyle w:val="ListParagraph"/>
        <w:numPr>
          <w:ilvl w:val="0"/>
          <w:numId w:val="2"/>
        </w:numPr>
        <w:spacing w:after="80" w:line="300"/>
      </w:pPr>
      <w:r>
        <w:rPr>
          <w:b/>
          <w:bCs/>
        </w:rPr>
        <w:t xml:space="preserve">Toss-Up Race Bundle ($5-15M)</w:t>
      </w:r>
      <w:r>
        <w:t xml:space="preserve"> — ‘How many of the 20 most competitive races will Democrats win?’</w:t>
      </w:r>
    </w:p>
    <w:p>
      <w:pPr>
        <w:pStyle w:val="ListParagraph"/>
        <w:numPr>
          <w:ilvl w:val="0"/>
          <w:numId w:val="2"/>
        </w:numPr>
        <w:spacing w:after="80" w:line="300"/>
      </w:pPr>
      <w:r>
        <w:rPr>
          <w:b/>
          <w:bCs/>
        </w:rPr>
        <w:t xml:space="preserve">Senate Seat Count Range ($5-10M)</w:t>
      </w:r>
      <w:r>
        <w:t xml:space="preserve"> — Margin matters for filibuster proximity and legislative power.</w:t>
      </w:r>
    </w:p>
    <w:p>
      <w:pPr>
        <w:pStyle w:val="Heading3"/>
      </w:pPr>
      <w:r>
        <w:t xml:space="preserve">1d. Legislative Outcome Markets — $25-60M estimated</w:t>
      </w:r>
    </w:p>
    <w:p>
      <w:pPr>
        <w:spacing w:after="160" w:line="320"/>
      </w:pPr>
      <w:r>
        <w:t xml:space="preserve">Shutdown markets have generated $53.5M+ in historical volume, proving demand for legislative outcomes. Two structural gaps remain:</w:t>
      </w:r>
    </w:p>
    <w:p>
      <w:pPr>
        <w:pStyle w:val="ListParagraph"/>
        <w:numPr>
          <w:ilvl w:val="0"/>
          <w:numId w:val="2"/>
        </w:numPr>
        <w:spacing w:after="80" w:line="300"/>
      </w:pPr>
      <w:r>
        <w:rPr>
          <w:b/>
          <w:bCs/>
        </w:rPr>
        <w:t xml:space="preserve">Reconciliation/Omnibus Passage ($15-30M)</w:t>
      </w:r>
      <w:r>
        <w:t xml:space="preserve"> — The ‘Big Beautiful Bill’ or equivalent mega-legislation affects taxes, spending, and the deficit. These packages touch every other financial market on the platform.</w:t>
      </w:r>
    </w:p>
    <w:p>
      <w:pPr>
        <w:pStyle w:val="ListParagraph"/>
        <w:numPr>
          <w:ilvl w:val="0"/>
          <w:numId w:val="2"/>
        </w:numPr>
        <w:spacing w:after="80" w:line="300"/>
      </w:pPr>
      <w:r>
        <w:rPr>
          <w:b/>
          <w:bCs/>
        </w:rPr>
        <w:t xml:space="preserve">Debt Ceiling Markets ($10-30M)</w:t>
      </w:r>
      <w:r>
        <w:t xml:space="preserve"> — The 2011 debt ceiling crisis led to the first US credit downgrade and a 17% S&amp;P 500 decline. The 2023 crisis spiked Treasury bill yields. No existing derivative cleanly isolates debt ceiling resolution probability—prediction markets would fill a genuine informational gap.</w:t>
      </w:r>
    </w:p>
    <w:p>
      <w:pPr>
        <w:spacing w:after="80"/>
      </w:pPr>
      <w:r>
        <w:t xml:space="preserve"/>
      </w:r>
    </w:p>
    <w:p>
      <w:pPr>
        <w:pStyle w:val="Heading1"/>
      </w:pPr>
      <w:r>
        <w:t xml:space="preserve">Priority 2: Health &amp; Biotech (New Category)</w:t>
      </w:r>
    </w:p>
    <w:p>
      <w:pPr>
        <w:spacing w:after="160" w:line="320"/>
      </w:pPr>
      <w:r>
        <w:rPr>
          <w:b/>
          <w:bCs/>
        </w:rPr>
        <w:t xml:space="preserve">Estimated volume: $50-150M/yr</w:t>
      </w:r>
      <w:r>
        <w:t xml:space="preserve"> | </w:t>
      </w:r>
      <w:r>
        <w:rPr>
          <w:b/>
          <w:bCs/>
        </w:rPr>
        <w:t xml:space="preserve">Regulatory risk: Medium (manageable)</w:t>
      </w:r>
      <w:r>
        <w:t xml:space="preserve"> | </w:t>
      </w:r>
      <w:r>
        <w:rPr>
          <w:b/>
          <w:bCs/>
        </w:rPr>
        <w:t xml:space="preserve">Implementation: Medium-term</w:t>
      </w:r>
    </w:p>
    <w:p>
      <w:pPr>
        <w:spacing w:after="160" w:line="320"/>
      </w:pPr>
      <w:r>
        <w:t xml:space="preserve">This is the only genuinely new top-level category confirmed as absent from Polymarket. Of eight initially proposed new categories, seven were found to already exist on the platform in some form. Health &amp; Biotech is the sole exception.</w:t>
      </w:r>
    </w:p>
    <w:p>
      <w:pPr>
        <w:pStyle w:val="Heading3"/>
      </w:pPr>
      <w:r>
        <w:t xml:space="preserve">The Case for PDUFA Markets</w:t>
      </w:r>
    </w:p>
    <w:p>
      <w:pPr>
        <w:spacing w:after="160" w:line="320"/>
      </w:pPr>
      <w:r>
        <w:t xml:space="preserve">The Prescription Drug User Fee Act (PDUFA) requires the FDA to set target action dates for drug application reviews. As of February 2026, there are 40+ confirmed PDUFA dates for the year, spanning oncology, neurology, rare disease, immunology, and cardiovascular therapeutic areas. Q1 2026 alone featured 8 major PDUFA events.</w:t>
      </w:r>
    </w:p>
    <w:p>
      <w:pPr>
        <w:spacing w:after="160" w:line="320"/>
      </w:pPr>
      <w:r>
        <w:t xml:space="preserve">Each PDUFA date is a binary event (approved / rejected / complete response letter) on a known exact date, months in advance. Affected company stock prices move 20-50% on decision day. An entire ecosystem of tracking and prediction tools already exists (fdatracker.com, pdufa.bio, biopharmawatch.com, RTTNews, CatalystAlert), including AI-powered approval probability scores (PDUFA.bio’s ODIN achieves 93.6% accuracy on TIER_1 predictions).</w:t>
      </w:r>
    </w:p>
    <w:p>
      <w:pPr>
        <w:pStyle w:val="Heading3"/>
      </w:pPr>
      <w:r>
        <w:t xml:space="preserve">Wisdom-of-Crowds Value</w:t>
      </w:r>
    </w:p>
    <w:p>
      <w:pPr>
        <w:spacing w:after="160" w:line="320"/>
      </w:pPr>
      <w:r>
        <w:t xml:space="preserve">FDA approval probability is a genuinely uncertain forecasting problem where dispersed information creates value. A prediction market would aggregate knowledge from biotech analysts, medical researchers, regulatory affairs professionals, clinical trial investigators, patient advocacy groups, and investors—producing a consensus signal that could inform investment decisions, clinical trial design priorities, patient access planning, and healthcare policy.</w:t>
      </w:r>
    </w:p>
    <w:p>
      <w:pPr>
        <w:pStyle w:val="Heading3"/>
      </w:pPr>
      <w:r>
        <w:t xml:space="preserve">Regulatory Considerations</w:t>
      </w:r>
    </w:p>
    <w:p>
      <w:pPr>
        <w:spacing w:after="160" w:line="320"/>
      </w:pPr>
      <w:r>
        <w:t xml:space="preserve">The primary regulatory concern is insider trading—FDA reviewers, clinical trial investigators, and pharmaceutical employees may have material non-public information. However, this identical risk already exists and is managed in biotech stock trading (regulated by the SEC). Prediction market contracts on PDUFA outcomes are structurally similar to existing biotech stock options. Robust surveillance and restricted-person policies (comparable to what Kalshi is implementing for sports) would mitigate this risk.</w:t>
      </w:r>
    </w:p>
    <w:p>
      <w:pPr>
        <w:pStyle w:val="Heading3"/>
      </w:pPr>
      <w:r>
        <w:t xml:space="preserve">Implementation Path</w:t>
      </w:r>
    </w:p>
    <w:p>
      <w:pPr>
        <w:spacing w:after="160" w:line="320"/>
      </w:pPr>
      <w:r>
        <w:t xml:space="preserve">Begin with FDA approval markets on the highest-profile PDUFA dates (major oncology, neurology, and GLP-1/obesity drugs that generate broad media coverage). Expand to ADCOMM vote markets (advisory committee recommendations precede PDUFA decisions by weeks, creating two tradeable events per drug). Phase 3 clinical trial readout markets could follow, though these carry higher insider risk.</w:t>
      </w:r>
    </w:p>
    <w:p>
      <w:pPr>
        <w:spacing w:after="80"/>
      </w:pPr>
      <w:r>
        <w:t xml:space="preserve"/>
      </w:r>
    </w:p>
    <w:p>
      <w:pPr>
        <w:pStyle w:val="Heading1"/>
      </w:pPr>
      <w:r>
        <w:t xml:space="preserve">Priority 3: Sports Expansion (High Volume, High Risk)</w:t>
      </w:r>
    </w:p>
    <w:p>
      <w:pPr>
        <w:spacing w:after="160" w:line="320"/>
      </w:pPr>
      <w:r>
        <w:rPr>
          <w:b/>
          <w:bCs/>
        </w:rPr>
        <w:t xml:space="preserve">Estimated volume: $200-500M+/yr</w:t>
      </w:r>
      <w:r>
        <w:t xml:space="preserve"> | </w:t>
      </w:r>
      <w:r>
        <w:rPr>
          <w:b/>
          <w:bCs/>
        </w:rPr>
        <w:t xml:space="preserve">Regulatory risk: High</w:t>
      </w:r>
      <w:r>
        <w:t xml:space="preserve"> | </w:t>
      </w:r>
      <w:r>
        <w:rPr>
          <w:b/>
          <w:bCs/>
        </w:rPr>
        <w:t xml:space="preserve">Implementation: Proceed with caution</w:t>
      </w:r>
    </w:p>
    <w:p>
      <w:pPr>
        <w:spacing w:after="160" w:line="320"/>
      </w:pPr>
      <w:r>
        <w:t xml:space="preserve">Sports markets represent the single largest volume opportunity but face existential regulatory risk. The strategic approach should prioritize formats that the CFTC has indicated are more defensible while monitoring legislative developments.</w:t>
      </w:r>
    </w:p>
    <w:p>
      <w:pPr>
        <w:pStyle w:val="Heading3"/>
      </w:pPr>
      <w:r>
        <w:t xml:space="preserve">Defensible Sports Markets (Medium Risk)</w:t>
      </w:r>
    </w:p>
    <w:p>
      <w:pPr>
        <w:spacing w:after="160" w:line="320"/>
      </w:pPr>
      <w:r>
        <w:t xml:space="preserve">The CFTC Staff Advisory explicitly notes that contracts on ‘aggregate performance of multiple participants over an extended period’ are more acceptable. Markets that fit this description:</w:t>
      </w:r>
    </w:p>
    <w:p>
      <w:pPr>
        <w:pStyle w:val="ListParagraph"/>
        <w:numPr>
          <w:ilvl w:val="0"/>
          <w:numId w:val="2"/>
        </w:numPr>
        <w:spacing w:after="80" w:line="300"/>
      </w:pPr>
      <w:r>
        <w:rPr>
          <w:b/>
          <w:bCs/>
        </w:rPr>
        <w:t xml:space="preserve">Season win total over/unders ($20-40M/yr)</w:t>
      </w:r>
      <w:r>
        <w:t xml:space="preserve"> — Aggregate across 82-162 games. Single-actor manipulation is infeasible.</w:t>
      </w:r>
    </w:p>
    <w:p>
      <w:pPr>
        <w:pStyle w:val="ListParagraph"/>
        <w:numPr>
          <w:ilvl w:val="0"/>
          <w:numId w:val="2"/>
        </w:numPr>
        <w:spacing w:after="80" w:line="300"/>
      </w:pPr>
      <w:r>
        <w:rPr>
          <w:b/>
          <w:bCs/>
        </w:rPr>
        <w:t xml:space="preserve">Award markets: MVP, ROY, Cy Young, DPOY ($20-50M/yr)</w:t>
      </w:r>
      <w:r>
        <w:t xml:space="preserve"> — Resolve based on media member voting, not game results. No single player controls voter decisions.</w:t>
      </w:r>
    </w:p>
    <w:p>
      <w:pPr>
        <w:pStyle w:val="ListParagraph"/>
        <w:numPr>
          <w:ilvl w:val="0"/>
          <w:numId w:val="2"/>
        </w:numPr>
        <w:spacing w:after="80" w:line="300"/>
      </w:pPr>
      <w:r>
        <w:rPr>
          <w:b/>
          <w:bCs/>
        </w:rPr>
        <w:t xml:space="preserve">Division and conference winners ($10-20M/yr)</w:t>
      </w:r>
      <w:r>
        <w:t xml:space="preserve"> — Multi-month duration, aggregate outcomes.</w:t>
      </w:r>
    </w:p>
    <w:p>
      <w:pPr>
        <w:pStyle w:val="ListParagraph"/>
        <w:numPr>
          <w:ilvl w:val="0"/>
          <w:numId w:val="2"/>
        </w:numPr>
        <w:spacing w:after="80" w:line="300"/>
      </w:pPr>
      <w:r>
        <w:rPr>
          <w:b/>
          <w:bCs/>
        </w:rPr>
        <w:t xml:space="preserve">Season-average player props ($20-50M/yr)</w:t>
      </w:r>
      <w:r>
        <w:t xml:space="preserve"> — Longer duration reduces manipulation risk vs. per-game props.</w:t>
      </w:r>
    </w:p>
    <w:p>
      <w:pPr>
        <w:pStyle w:val="Heading3"/>
      </w:pPr>
      <w:r>
        <w:t xml:space="preserve">High-Risk Sports Markets (Proceed with Caution)</w:t>
      </w:r>
    </w:p>
    <w:p>
      <w:pPr>
        <w:pStyle w:val="ListParagraph"/>
        <w:numPr>
          <w:ilvl w:val="0"/>
          <w:numId w:val="2"/>
        </w:numPr>
        <w:spacing w:after="80" w:line="300"/>
      </w:pPr>
      <w:r>
        <w:rPr>
          <w:b/>
          <w:bCs/>
        </w:rPr>
        <w:t xml:space="preserve">Per-game player props ($100M+/yr)</w:t>
      </w:r>
      <w:r>
        <w:t xml:space="preserve"> — Highest volume but CFTC specifically flagged individual performance. Defer until regulatory clarity emerges from ANPRM comment period (due April 30, 2026).</w:t>
      </w:r>
    </w:p>
    <w:p>
      <w:pPr>
        <w:pStyle w:val="ListParagraph"/>
        <w:numPr>
          <w:ilvl w:val="0"/>
          <w:numId w:val="2"/>
        </w:numPr>
        <w:spacing w:after="80" w:line="300"/>
      </w:pPr>
      <w:r>
        <w:rPr>
          <w:b/>
          <w:bCs/>
        </w:rPr>
        <w:t xml:space="preserve">In-game live markets ($50-100M+)</w:t>
      </w:r>
      <w:r>
        <w:t xml:space="preserve"> — Combines per-game manipulation risk with ultra-short duration. Defer.</w:t>
      </w:r>
    </w:p>
    <w:p>
      <w:pPr>
        <w:pStyle w:val="Heading3"/>
      </w:pPr>
      <w:r>
        <w:t xml:space="preserve">League Expansion</w:t>
      </w:r>
    </w:p>
    <w:p>
      <w:pPr>
        <w:spacing w:after="160" w:line="320"/>
      </w:pPr>
      <w:r>
        <w:t xml:space="preserve">NHL and golf represent meaningful volume ($50-130M/yr combined) but face the same regulatory uncertainty as all sports contracts. The Prediction Markets Are Gambling Act would ban all sports contracts if passed. Proceed with game outcome markets (lowest manipulation risk within sports) while monitoring the legislative trajectory.</w:t>
      </w:r>
    </w:p>
    <w:p>
      <w:pPr>
        <w:spacing w:after="80"/>
      </w:pPr>
      <w:r>
        <w:t xml:space="preserve"/>
      </w:r>
    </w:p>
    <w:p>
      <w:pPr>
        <w:pStyle w:val="Heading1"/>
      </w:pPr>
      <w:r>
        <w:t xml:space="preserve">Priority 4: Structural Changes (Zero Risk, Immediate)</w:t>
      </w:r>
    </w:p>
    <w:p>
      <w:pPr>
        <w:spacing w:after="160" w:line="320"/>
      </w:pPr>
      <w:r>
        <w:rPr>
          <w:b/>
          <w:bCs/>
        </w:rPr>
        <w:t xml:space="preserve">Estimated volume impact: Multiplicative</w:t>
      </w:r>
      <w:r>
        <w:t xml:space="preserve"> | </w:t>
      </w:r>
      <w:r>
        <w:rPr>
          <w:b/>
          <w:bCs/>
        </w:rPr>
        <w:t xml:space="preserve">Regulatory risk: None</w:t>
      </w:r>
      <w:r>
        <w:t xml:space="preserve"> | </w:t>
      </w:r>
      <w:r>
        <w:rPr>
          <w:b/>
          <w:bCs/>
        </w:rPr>
        <w:t xml:space="preserve">Implementation: Immediate</w:t>
      </w:r>
    </w:p>
    <w:p>
      <w:pPr>
        <w:spacing w:after="160" w:line="320"/>
      </w:pPr>
      <w:r>
        <w:t xml:space="preserve">Two navigation changes would increase visibility and volume for existing market categories at zero regulatory cost and minimal development effort:</w:t>
      </w:r>
    </w:p>
    <w:p>
      <w:pPr>
        <w:pStyle w:val="ListParagraph"/>
        <w:numPr>
          <w:ilvl w:val="0"/>
          <w:numId w:val="3"/>
        </w:numPr>
        <w:spacing w:after="80" w:line="300"/>
      </w:pPr>
      <w:r>
        <w:rPr>
          <w:b/>
          <w:bCs/>
        </w:rPr>
        <w:t xml:space="preserve">Promote Courts/Legal to top-level navigation.</w:t>
      </w:r>
      <w:r>
        <w:t xml:space="preserve"> 105 SCOTUS markets already exist ($2M+ volume, tariff case $9M+ cross-platform). AI was promoted from a subtag to its own top-level nav item—the same treatment for Legal would surface these markets to the platform’s full user base. Expand into criminal trial verdict markets once promoted.</w:t>
      </w:r>
    </w:p>
    <w:p>
      <w:pPr>
        <w:pStyle w:val="ListParagraph"/>
        <w:numPr>
          <w:ilvl w:val="0"/>
          <w:numId w:val="3"/>
        </w:numPr>
        <w:spacing w:after="80" w:line="300"/>
      </w:pPr>
      <w:r>
        <w:rPr>
          <w:b/>
          <w:bCs/>
        </w:rPr>
        <w:t xml:space="preserve">Promote Real Estate/Housing to top-level navigation.</w:t>
      </w:r>
      <w:r>
        <w:t xml:space="preserve"> 330+ markets are scattered across Economy, Housing, Real Estate, and Mortgage tags ($19.1M+ combined). Create national aggregate markets (median home price, national mortgage rate thresholds) to concentrate the fragmented city-level liquidity ($1.7-15.5K per city market), then promote the consolidated category to top-level.</w:t>
      </w:r>
    </w:p>
    <w:p>
      <w:pPr>
        <w:spacing w:after="80"/>
      </w:pPr>
      <w:r>
        <w:t xml:space="preserve"/>
      </w:r>
    </w:p>
    <w:p>
      <w:pPr>
        <w:pStyle w:val="Heading1"/>
      </w:pPr>
      <w:r>
        <w:t xml:space="preserve">Summary of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600"/>
        <w:gridCol w:w="1200"/>
        <w:gridCol w:w="22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Priority</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Action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Est. Volume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Reg Risk</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Timeline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Political derivatives (VP, primaries, midterm aggregates, legislation)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$175-370M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Immediate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Health &amp; Biotech new category (PDUFA, ADCOMM, Phase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$50-150M/yr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Medium-term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Defensible sports (win totals, awards, season props)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$70-160M/yr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Near-term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High-risk sports (per-game props, live markets, league expansion)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$200-330M/yr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Deferred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Structural nav changes (Courts, Housing promotion)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Multiplicative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Immediate</w:t>
            </w:r>
          </w:p>
        </w:tc>
      </w:tr>
    </w:tbl>
    <w:p>
      <w:pPr>
        <w:spacing w:after="80"/>
      </w:pPr>
      <w:r>
        <w:t xml:space="preserve"/>
      </w:r>
    </w:p>
    <w:p>
      <w:pPr>
        <w:spacing w:after="160" w:line="320"/>
      </w:pPr>
      <w:r>
        <w:rPr>
          <w:b/>
          <w:bCs/>
        </w:rPr>
        <w:t xml:space="preserve">The bottom line: </w:t>
      </w:r>
      <w:r>
        <w:t xml:space="preserve">Polymarket’s highest-value, lowest-risk expansion path runs through political derivatives and a new Health &amp; Biotech category—not through sports, despite sports offering the largest raw volume. Sports expansion should proceed selectively, prioritizing aggregate/extended-period formats while monitoring the regulatory trajectory established by the CFTC ANPRM (comment period closing April 30, 2026) and the Prediction Markets Are Gambling 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5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2026-03-27T19:54:26.108Z</dcterms:created>
  <dcterms:modified xsi:type="dcterms:W3CDTF">2026-03-27T19:54:26.108Z</dcterms:modified>
</cp:coreProperties>
</file>

<file path=docProps/custom.xml><?xml version="1.0" encoding="utf-8"?>
<Properties xmlns="http://schemas.openxmlformats.org/officeDocument/2006/custom-properties" xmlns:vt="http://schemas.openxmlformats.org/officeDocument/2006/docPropsVTypes"/>
</file>