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0"/>
      </w:pPr>
      <w:r>
        <w:rPr>
          <w:rFonts w:ascii="Times" w:hAnsi="Times" w:cs="Times"/>
          <w:sz w:val="24"/>
          <w:sz-cs w:val="24"/>
        </w:rPr>
        <w:t xml:space="preserve"/>
      </w:r>
    </w:p>
    <w:p>
      <w:pPr>
        <w:jc w:val="center"/>
        <w:spacing w:after="40"/>
      </w:pPr>
      <w:r>
        <w:rPr>
          <w:rFonts w:ascii="Arial" w:hAnsi="Arial" w:cs="Arial"/>
          <w:sz w:val="48"/>
          <w:sz-cs w:val="48"/>
          <w:b/>
          <w:color w:val="1A1A2E"/>
        </w:rPr>
        <w:t xml:space="preserve">MARKET INTELLIGENCE AND</w:t>
      </w:r>
    </w:p>
    <w:p>
      <w:pPr>
        <w:jc w:val="center"/>
        <w:spacing w:after="200"/>
      </w:pPr>
      <w:r>
        <w:rPr>
          <w:rFonts w:ascii="Arial" w:hAnsi="Arial" w:cs="Arial"/>
          <w:sz w:val="48"/>
          <w:sz-cs w:val="48"/>
          <w:b/>
          <w:color w:val="1A1A2E"/>
        </w:rPr>
        <w:t xml:space="preserve">EXPANSION FRAMEWORK</w:t>
      </w:r>
    </w:p>
    <w:p>
      <w:pPr>
        <w:jc w:val="center"/>
        <w:spacing w:after="40"/>
      </w:pPr>
      <w:r>
        <w:rPr>
          <w:rFonts w:ascii="Arial" w:hAnsi="Arial" w:cs="Arial"/>
          <w:sz w:val="24"/>
          <w:sz-cs w:val="24"/>
          <w:color w:val="555577"/>
        </w:rPr>
        <w:t xml:space="preserve">A Systematic Process for Identifying, Evaluating, and Executing</w:t>
      </w:r>
    </w:p>
    <w:p>
      <w:pPr>
        <w:jc w:val="center"/>
        <w:spacing w:after="400"/>
      </w:pPr>
      <w:r>
        <w:rPr>
          <w:rFonts w:ascii="Arial" w:hAnsi="Arial" w:cs="Arial"/>
          <w:sz w:val="24"/>
          <w:sz-cs w:val="24"/>
          <w:color w:val="555577"/>
        </w:rPr>
        <w:t xml:space="preserve">Market Expansion Opportunities on Polymarket</w:t>
      </w:r>
    </w:p>
    <w:p>
      <w:pPr>
        <w:jc w:val="center"/>
        <w:spacing w:after="80"/>
      </w:pPr>
      <w:r>
        <w:rPr>
          <w:rFonts w:ascii="Times" w:hAnsi="Times" w:cs="Times"/>
          <w:sz w:val="24"/>
          <w:sz-cs w:val="24"/>
          <w:i/>
          <w:color w:val="666666"/>
        </w:rPr>
        <w:t xml:space="preserve">March 2026</w:t>
      </w:r>
    </w:p>
    <w:p>
      <w:pPr>
        <w:jc w:val="center"/>
        <w:spacing w:after="160"/>
      </w:pPr>
      <w:r>
        <w:rPr>
          <w:rFonts w:ascii="Times" w:hAnsi="Times" w:cs="Times"/>
          <w:sz w:val="24"/>
          <w:sz-cs w:val="24"/>
          <w:i/>
          <w:color w:val="666666"/>
        </w:rPr>
        <w:t xml:space="preserve">Companion to: Gap Analysis Dashboard, Assessment Matrix, Strategic Recommendations</w:t>
      </w:r>
    </w:p>
    <w:p>
      <w:pPr/>
      <w:r>
        <w:rPr>
          <w:rFonts w:ascii="Times" w:hAnsi="Times" w:cs="Times"/>
          <w:sz w:val="24"/>
          <w:sz-cs w:val="24"/>
        </w:rPr>
        <w:t xml:space="preserve"/>
        <w:br w:type="page"/>
        <w:t xml:space="preserve"/>
      </w:r>
    </w:p>
    <w:p>
      <w:pPr/>
      <w:r>
        <w:rPr>
          <w:rFonts w:ascii="Times" w:hAnsi="Times" w:cs="Times"/>
          <w:sz w:val="24"/>
          <w:sz-cs w:val="24"/>
        </w:rPr>
        <w:t xml:space="preserve">1. The Opportunity</w:t>
      </w:r>
    </w:p>
    <w:p>
      <w:pPr>
        <w:spacing w:after="160"/>
      </w:pPr>
      <w:r>
        <w:rPr>
          <w:rFonts w:ascii="Times" w:hAnsi="Times" w:cs="Times"/>
          <w:sz w:val="24"/>
          <w:sz-cs w:val="24"/>
        </w:rPr>
        <w:t xml:space="preserve">Polymarket’s platform hosts thousands of markets across politics, crypto, sports, geopolitics, finance, economy, weather, AI, and culture. Across these categories, our companion Gap Analysis identified over 20 expansion opportunities, many of which fall into three recurring patterns that a systematic framework can address:</w:t>
      </w:r>
    </w:p>
    <w:p>
      <w:pPr>
        <w:ind w:left="720" w:first-line="-720"/>
        <w:spacing w:after="80"/>
      </w:pPr>
      <w:r>
        <w:rPr>
          <w:rFonts w:ascii="Times" w:hAnsi="Times" w:cs="Times"/>
          <w:sz w:val="24"/>
          <w:sz-cs w:val="24"/>
          <w:b/>
        </w:rPr>
        <w:t xml:space="preserve"/>
        <w:tab/>
        <w:t xml:space="preserve">•</w:t>
        <w:tab/>
        <w:t xml:space="preserve">Structural derivatives of existing high-volume markets. </w:t>
      </w:r>
      <w:r>
        <w:rPr>
          <w:rFonts w:ascii="Times" w:hAnsi="Times" w:cs="Times"/>
          <w:sz w:val="24"/>
          <w:sz-cs w:val="24"/>
        </w:rPr>
        <w:t xml:space="preserve">The 2028 presidential nominee markets have generated $1.38B+ in combined volume. The logical derivative—VP nominee markets, which drove 2-5% swings in presidential odds during the 2024 cycle—represents an estimated $90-180M opportunity. Similarly, the main shutdown market has attracted $53.5M, but the closely related debt ceiling market is absent. These are natural extensions of the platform’s highest-performing markets that a systematic evaluation process would surface.</w:t>
      </w:r>
    </w:p>
    <w:p>
      <w:pPr>
        <w:ind w:left="720" w:first-line="-720"/>
        <w:spacing w:after="80"/>
      </w:pPr>
      <w:r>
        <w:rPr>
          <w:rFonts w:ascii="Times" w:hAnsi="Times" w:cs="Times"/>
          <w:sz w:val="24"/>
          <w:sz-cs w:val="24"/>
          <w:b/>
        </w:rPr>
        <w:t xml:space="preserve"/>
        <w:tab/>
        <w:t xml:space="preserve">•</w:t>
        <w:tab/>
        <w:t xml:space="preserve">Calendar-driven events with known schedules. </w:t>
      </w:r>
      <w:r>
        <w:rPr>
          <w:rFonts w:ascii="Times" w:hAnsi="Times" w:cs="Times"/>
          <w:sz w:val="24"/>
          <w:sz-cs w:val="24"/>
        </w:rPr>
        <w:t xml:space="preserve">The FDA publishes 40+ PDUFA target action dates per year, each a known-date binary event with 20-50% stock price swings. SCOTUS hears approximately 60 cases per term with opinions concentrated in June. FOMC meetings occur 8 times per year on a published schedule. OPEC+ meetings, earnings seasons, and election primaries all follow predictable calendars. A forward-looking coverage plan would ensure these recurring opportunities are harvested systematically.</w:t>
      </w:r>
    </w:p>
    <w:p>
      <w:pPr>
        <w:ind w:left="720" w:first-line="-720"/>
        <w:spacing w:after="80"/>
      </w:pPr>
      <w:r>
        <w:rPr>
          <w:rFonts w:ascii="Times" w:hAnsi="Times" w:cs="Times"/>
          <w:sz w:val="24"/>
          <w:sz-cs w:val="24"/>
          <w:b/>
        </w:rPr>
        <w:t xml:space="preserve"/>
        <w:tab/>
        <w:t xml:space="preserve">•</w:t>
        <w:tab/>
        <w:t xml:space="preserve">Liquidity concentration opportunities. </w:t>
      </w:r>
      <w:r>
        <w:rPr>
          <w:rFonts w:ascii="Times" w:hAnsi="Times" w:cs="Times"/>
          <w:sz w:val="24"/>
          <w:sz-cs w:val="24"/>
        </w:rPr>
        <w:t xml:space="preserve">The 2026 midterm elections have 435 individual House race markets, each generating $0-6K in volume. The aggregate market that media and campaigns actually focus on—net seats gained or lost—would concentrate attention into a single, more liquid market. Identifying when fewer, better-designed markets outperform a larger number of thinly traded ones is a repeatable analytical decision.</w:t>
      </w:r>
    </w:p>
    <w:p>
      <w:pPr>
        <w:spacing w:after="160"/>
      </w:pPr>
      <w:r>
        <w:rPr>
          <w:rFonts w:ascii="Times" w:hAnsi="Times" w:cs="Times"/>
          <w:sz w:val="24"/>
          <w:sz-cs w:val="24"/>
        </w:rPr>
        <w:t xml:space="preserve">This document presents a four-component framework designed to systematically identify, evaluate, and act on these types of opportunities. It builds on the analytical foundations established in the companion Gap Analysis and Assessment Matrix, which identified and scored 20+ expansion opportunities across all Polymarket categories. The framework transforms that one-time analysis into a repeatable, ongoing process.</w:t>
      </w:r>
    </w:p>
    <w:p>
      <w:pPr>
        <w:spacing w:after="120"/>
      </w:pPr>
      <w:r>
        <w:rPr>
          <w:rFonts w:ascii="Times" w:hAnsi="Times" w:cs="Times"/>
          <w:sz w:val="24"/>
          <w:sz-cs w:val="24"/>
        </w:rPr>
        <w:t xml:space="preserve"/>
      </w:r>
    </w:p>
    <w:p>
      <w:pPr/>
      <w:r>
        <w:rPr>
          <w:rFonts w:ascii="Times" w:hAnsi="Times" w:cs="Times"/>
          <w:sz w:val="24"/>
          <w:sz-cs w:val="24"/>
        </w:rPr>
        <w:t xml:space="preserve">2. Framework Overview</w:t>
      </w:r>
    </w:p>
    <w:p>
      <w:pPr>
        <w:spacing w:after="160"/>
      </w:pPr>
      <w:r>
        <w:rPr>
          <w:rFonts w:ascii="Times" w:hAnsi="Times" w:cs="Times"/>
          <w:sz w:val="24"/>
          <w:sz-cs w:val="24"/>
        </w:rPr>
        <w:t xml:space="preserve">The Market Intelligence and Expansion Framework consists of four components, each addressing a distinct phase of the market expansion lifecycle:</w:t>
      </w:r>
    </w:p>
    <w:p>
      <w:pPr/>
      <w:r>
        <w:rPr>
          <w:rFonts w:ascii="Arial" w:hAnsi="Arial" w:cs="Arial"/>
          <w:sz w:val="20"/>
          <w:sz-cs w:val="20"/>
          <w:b/>
        </w:rPr>
        <w:t xml:space="preserve">Component</w:t>
      </w:r>
    </w:p>
    <w:p>
      <w:pPr/>
      <w:r>
        <w:rPr>
          <w:rFonts w:ascii="Arial" w:hAnsi="Arial" w:cs="Arial"/>
          <w:sz w:val="20"/>
          <w:sz-cs w:val="20"/>
          <w:b/>
        </w:rPr>
        <w:t xml:space="preserve">Function</w:t>
      </w:r>
    </w:p>
    <w:p>
      <w:pPr/>
      <w:r>
        <w:rPr>
          <w:rFonts w:ascii="Arial" w:hAnsi="Arial" w:cs="Arial"/>
          <w:sz w:val="20"/>
          <w:sz-cs w:val="20"/>
          <w:b/>
        </w:rPr>
        <w:t xml:space="preserve">Cadence</w:t>
      </w:r>
    </w:p>
    <w:p>
      <w:pPr/>
      <w:r>
        <w:rPr>
          <w:rFonts w:ascii="Arial" w:hAnsi="Arial" w:cs="Arial"/>
          <w:sz w:val="20"/>
          <w:sz-cs w:val="20"/>
        </w:rPr>
        <w:t xml:space="preserve">Coverage Calendar</w:t>
      </w:r>
    </w:p>
    <w:p>
      <w:pPr/>
      <w:r>
        <w:rPr>
          <w:rFonts w:ascii="Arial" w:hAnsi="Arial" w:cs="Arial"/>
          <w:sz w:val="20"/>
          <w:sz-cs w:val="20"/>
        </w:rPr>
        <w:t xml:space="preserve">Systematically harvests known-date binary events across all categories</w:t>
      </w:r>
    </w:p>
    <w:p>
      <w:pPr/>
      <w:r>
        <w:rPr>
          <w:rFonts w:ascii="Arial" w:hAnsi="Arial" w:cs="Arial"/>
          <w:sz w:val="20"/>
          <w:sz-cs w:val="20"/>
        </w:rPr>
        <w:t xml:space="preserve">Quarterly planning + monthly updates</w:t>
      </w:r>
    </w:p>
    <w:p>
      <w:pPr/>
      <w:r>
        <w:rPr>
          <w:rFonts w:ascii="Arial" w:hAnsi="Arial" w:cs="Arial"/>
          <w:sz w:val="20"/>
          <w:sz-cs w:val="20"/>
        </w:rPr>
        <w:t xml:space="preserve">Candidate Evaluation Rubric</w:t>
      </w:r>
    </w:p>
    <w:p>
      <w:pPr/>
      <w:r>
        <w:rPr>
          <w:rFonts w:ascii="Arial" w:hAnsi="Arial" w:cs="Arial"/>
          <w:sz w:val="20"/>
          <w:sz-cs w:val="20"/>
        </w:rPr>
        <w:t xml:space="preserve">Scores any proposed market on 6 dimensions before creation</w:t>
      </w:r>
    </w:p>
    <w:p>
      <w:pPr/>
      <w:r>
        <w:rPr>
          <w:rFonts w:ascii="Arial" w:hAnsi="Arial" w:cs="Arial"/>
          <w:sz w:val="20"/>
          <w:sz-cs w:val="20"/>
        </w:rPr>
        <w:t xml:space="preserve">Per candidate (ad hoc)</w:t>
      </w:r>
    </w:p>
    <w:p>
      <w:pPr/>
      <w:r>
        <w:rPr>
          <w:rFonts w:ascii="Arial" w:hAnsi="Arial" w:cs="Arial"/>
          <w:sz w:val="20"/>
          <w:sz-cs w:val="20"/>
        </w:rPr>
        <w:t xml:space="preserve">Signal Detection Layer</w:t>
      </w:r>
    </w:p>
    <w:p>
      <w:pPr/>
      <w:r>
        <w:rPr>
          <w:rFonts w:ascii="Arial" w:hAnsi="Arial" w:cs="Arial"/>
          <w:sz w:val="20"/>
          <w:sz-cs w:val="20"/>
        </w:rPr>
        <w:t xml:space="preserve">Surfaces expansion opportunities from 7 structured signal sources</w:t>
      </w:r>
    </w:p>
    <w:p>
      <w:pPr/>
      <w:r>
        <w:rPr>
          <w:rFonts w:ascii="Arial" w:hAnsi="Arial" w:cs="Arial"/>
          <w:sz w:val="20"/>
          <w:sz-cs w:val="20"/>
        </w:rPr>
        <w:t xml:space="preserve">Continuous monitoring</w:t>
      </w:r>
    </w:p>
    <w:p>
      <w:pPr/>
      <w:r>
        <w:rPr>
          <w:rFonts w:ascii="Arial" w:hAnsi="Arial" w:cs="Arial"/>
          <w:sz w:val="20"/>
          <w:sz-cs w:val="20"/>
        </w:rPr>
        <w:t xml:space="preserve">Rapid Response Protocol</w:t>
      </w:r>
    </w:p>
    <w:p>
      <w:pPr/>
      <w:r>
        <w:rPr>
          <w:rFonts w:ascii="Arial" w:hAnsi="Arial" w:cs="Arial"/>
          <w:sz w:val="20"/>
          <w:sz-cs w:val="20"/>
        </w:rPr>
        <w:t xml:space="preserve">Decision tree for breaking events requiring same-day market creation</w:t>
      </w:r>
    </w:p>
    <w:p>
      <w:pPr/>
      <w:r>
        <w:rPr>
          <w:rFonts w:ascii="Arial" w:hAnsi="Arial" w:cs="Arial"/>
          <w:sz w:val="20"/>
          <w:sz-cs w:val="20"/>
        </w:rPr>
        <w:t xml:space="preserve">Event-driven</w:t>
      </w:r>
    </w:p>
    <w:p>
      <w:pPr>
        <w:spacing w:after="160"/>
      </w:pPr>
      <w:r>
        <w:rPr>
          <w:rFonts w:ascii="Times" w:hAnsi="Times" w:cs="Times"/>
          <w:sz w:val="24"/>
          <w:sz-cs w:val="24"/>
        </w:rPr>
        <w:t xml:space="preserve">These components are sequential: the Coverage Calendar identifies known opportunities, the Signal Detection Layer surfaces emerging ones, the Evaluation Rubric scores all candidates regardless of source, and the Rapid Response Protocol handles time-sensitive events that bypass the standard evaluation cycle.</w:t>
      </w:r>
    </w:p>
    <w:p>
      <w:pPr/>
      <w:r>
        <w:rPr>
          <w:rFonts w:ascii="Times" w:hAnsi="Times" w:cs="Times"/>
          <w:sz w:val="24"/>
          <w:sz-cs w:val="24"/>
        </w:rPr>
        <w:t xml:space="preserve"/>
        <w:br w:type="page"/>
        <w:t xml:space="preserve"/>
      </w:r>
    </w:p>
    <w:p>
      <w:pPr/>
      <w:r>
        <w:rPr>
          <w:rFonts w:ascii="Times" w:hAnsi="Times" w:cs="Times"/>
          <w:sz w:val="24"/>
          <w:sz-cs w:val="24"/>
        </w:rPr>
        <w:t xml:space="preserve">3. Component 1: Coverage Calendar</w:t>
      </w:r>
    </w:p>
    <w:p>
      <w:pPr/>
      <w:r>
        <w:rPr>
          <w:rFonts w:ascii="Times" w:hAnsi="Times" w:cs="Times"/>
          <w:sz w:val="24"/>
          <w:sz-cs w:val="24"/>
        </w:rPr>
        <w:t xml:space="preserve">3.1 Purpose</w:t>
      </w:r>
    </w:p>
    <w:p>
      <w:pPr>
        <w:spacing w:after="160"/>
      </w:pPr>
      <w:r>
        <w:rPr>
          <w:rFonts w:ascii="Times" w:hAnsi="Times" w:cs="Times"/>
          <w:sz w:val="24"/>
          <w:sz-cs w:val="24"/>
        </w:rPr>
        <w:t xml:space="preserve">The Coverage Calendar is a systematic, forward-looking schedule of known-date binary events that could support prediction markets. Its purpose is to eliminate the category of missed opportunity where a market could have been created months in advance but wasn’t because no one was tracking the event calendar for that domain.</w:t>
      </w:r>
    </w:p>
    <w:p>
      <w:pPr>
        <w:spacing w:after="160"/>
      </w:pPr>
      <w:r>
        <w:rPr>
          <w:rFonts w:ascii="Times" w:hAnsi="Times" w:cs="Times"/>
          <w:sz w:val="24"/>
          <w:sz-cs w:val="24"/>
        </w:rPr>
        <w:t xml:space="preserve">This component directly addresses the second failure mode identified above: calendar-driven opportunities that slip through the cracks. By maintaining a rolling calendar across all domains, the team can plan market creation in advance, design resolution criteria carefully, and seed liquidity before interest peaks.</w:t>
      </w:r>
    </w:p>
    <w:p>
      <w:pPr/>
      <w:r>
        <w:rPr>
          <w:rFonts w:ascii="Times" w:hAnsi="Times" w:cs="Times"/>
          <w:sz w:val="24"/>
          <w:sz-cs w:val="24"/>
        </w:rPr>
        <w:t xml:space="preserve">3.2 Domain Calendars</w:t>
      </w:r>
    </w:p>
    <w:p>
      <w:pPr>
        <w:spacing w:after="160"/>
      </w:pPr>
      <w:r>
        <w:rPr>
          <w:rFonts w:ascii="Times" w:hAnsi="Times" w:cs="Times"/>
          <w:sz w:val="24"/>
          <w:sz-cs w:val="24"/>
        </w:rPr>
        <w:t xml:space="preserve">Each category on Polymarket maps to one or more external event calendars. The following table identifies the primary calendars, their cadence, and the optimal market creation window—the lead time that balances early liquidity seeding against premature creation:</w:t>
      </w:r>
    </w:p>
    <w:p>
      <w:pPr/>
      <w:r>
        <w:rPr>
          <w:rFonts w:ascii="Arial" w:hAnsi="Arial" w:cs="Arial"/>
          <w:sz w:val="20"/>
          <w:sz-cs w:val="20"/>
          <w:b/>
        </w:rPr>
        <w:t xml:space="preserve">Domain</w:t>
      </w:r>
    </w:p>
    <w:p>
      <w:pPr/>
      <w:r>
        <w:rPr>
          <w:rFonts w:ascii="Arial" w:hAnsi="Arial" w:cs="Arial"/>
          <w:sz w:val="20"/>
          <w:sz-cs w:val="20"/>
          <w:b/>
        </w:rPr>
        <w:t xml:space="preserve">Calendar Source</w:t>
      </w:r>
    </w:p>
    <w:p>
      <w:pPr/>
      <w:r>
        <w:rPr>
          <w:rFonts w:ascii="Arial" w:hAnsi="Arial" w:cs="Arial"/>
          <w:sz w:val="20"/>
          <w:sz-cs w:val="20"/>
          <w:b/>
        </w:rPr>
        <w:t xml:space="preserve">Events/Year</w:t>
      </w:r>
    </w:p>
    <w:p>
      <w:pPr/>
      <w:r>
        <w:rPr>
          <w:rFonts w:ascii="Arial" w:hAnsi="Arial" w:cs="Arial"/>
          <w:sz w:val="20"/>
          <w:sz-cs w:val="20"/>
          <w:b/>
        </w:rPr>
        <w:t xml:space="preserve">Optimal Lead Time</w:t>
      </w:r>
    </w:p>
    <w:p>
      <w:pPr/>
      <w:r>
        <w:rPr>
          <w:rFonts w:ascii="Arial" w:hAnsi="Arial" w:cs="Arial"/>
          <w:sz w:val="20"/>
          <w:sz-cs w:val="20"/>
        </w:rPr>
        <w:t xml:space="preserve">Federal Reserve</w:t>
      </w:r>
    </w:p>
    <w:p>
      <w:pPr/>
      <w:r>
        <w:rPr>
          <w:rFonts w:ascii="Arial" w:hAnsi="Arial" w:cs="Arial"/>
          <w:sz w:val="20"/>
          <w:sz-cs w:val="20"/>
        </w:rPr>
        <w:t xml:space="preserve">FOMC meeting schedule (federalreserve.gov)</w:t>
      </w:r>
    </w:p>
    <w:p>
      <w:pPr/>
      <w:r>
        <w:rPr>
          <w:rFonts w:ascii="Arial" w:hAnsi="Arial" w:cs="Arial"/>
          <w:sz w:val="20"/>
          <w:sz-cs w:val="20"/>
        </w:rPr>
        <w:t xml:space="preserve">8 meetings + 4 SEP releases</w:t>
      </w:r>
    </w:p>
    <w:p>
      <w:pPr/>
      <w:r>
        <w:rPr>
          <w:rFonts w:ascii="Arial" w:hAnsi="Arial" w:cs="Arial"/>
          <w:sz w:val="20"/>
          <w:sz-cs w:val="20"/>
        </w:rPr>
        <w:t xml:space="preserve">4-6 weeks before meeting</w:t>
      </w:r>
    </w:p>
    <w:p>
      <w:pPr/>
      <w:r>
        <w:rPr>
          <w:rFonts w:ascii="Arial" w:hAnsi="Arial" w:cs="Arial"/>
          <w:sz w:val="20"/>
          <w:sz-cs w:val="20"/>
        </w:rPr>
        <w:t xml:space="preserve">Central Banks (Global)</w:t>
      </w:r>
    </w:p>
    <w:p>
      <w:pPr/>
      <w:r>
        <w:rPr>
          <w:rFonts w:ascii="Arial" w:hAnsi="Arial" w:cs="Arial"/>
          <w:sz w:val="20"/>
          <w:sz-cs w:val="20"/>
        </w:rPr>
        <w:t xml:space="preserve">ECB, BOJ, BOE, BOC, SNB published schedules</w:t>
      </w:r>
    </w:p>
    <w:p>
      <w:pPr/>
      <w:r>
        <w:rPr>
          <w:rFonts w:ascii="Arial" w:hAnsi="Arial" w:cs="Arial"/>
          <w:sz w:val="20"/>
          <w:sz-cs w:val="20"/>
        </w:rPr>
        <w:t xml:space="preserve">40+ decisions combined</w:t>
      </w:r>
    </w:p>
    <w:p>
      <w:pPr/>
      <w:r>
        <w:rPr>
          <w:rFonts w:ascii="Arial" w:hAnsi="Arial" w:cs="Arial"/>
          <w:sz w:val="20"/>
          <w:sz-cs w:val="20"/>
        </w:rPr>
        <w:t xml:space="preserve">3-4 weeks</w:t>
      </w:r>
    </w:p>
    <w:p>
      <w:pPr/>
      <w:r>
        <w:rPr>
          <w:rFonts w:ascii="Arial" w:hAnsi="Arial" w:cs="Arial"/>
          <w:sz w:val="20"/>
          <w:sz-cs w:val="20"/>
        </w:rPr>
        <w:t xml:space="preserve">FDA / Biotech</w:t>
      </w:r>
    </w:p>
    <w:p>
      <w:pPr/>
      <w:r>
        <w:rPr>
          <w:rFonts w:ascii="Arial" w:hAnsi="Arial" w:cs="Arial"/>
          <w:sz w:val="20"/>
          <w:sz-cs w:val="20"/>
        </w:rPr>
        <w:t xml:space="preserve">PDUFA calendar (fdatracker.com, pdufa.bio)</w:t>
      </w:r>
    </w:p>
    <w:p>
      <w:pPr/>
      <w:r>
        <w:rPr>
          <w:rFonts w:ascii="Arial" w:hAnsi="Arial" w:cs="Arial"/>
          <w:sz w:val="20"/>
          <w:sz-cs w:val="20"/>
        </w:rPr>
        <w:t xml:space="preserve">40+ PDUFA dates/year</w:t>
      </w:r>
    </w:p>
    <w:p>
      <w:pPr/>
      <w:r>
        <w:rPr>
          <w:rFonts w:ascii="Arial" w:hAnsi="Arial" w:cs="Arial"/>
          <w:sz w:val="20"/>
          <w:sz-cs w:val="20"/>
        </w:rPr>
        <w:t xml:space="preserve">8-12 weeks (once NDA accepted)</w:t>
      </w:r>
    </w:p>
    <w:p>
      <w:pPr/>
      <w:r>
        <w:rPr>
          <w:rFonts w:ascii="Arial" w:hAnsi="Arial" w:cs="Arial"/>
          <w:sz w:val="20"/>
          <w:sz-cs w:val="20"/>
        </w:rPr>
        <w:t xml:space="preserve">SCOTUS</w:t>
      </w:r>
    </w:p>
    <w:p>
      <w:pPr/>
      <w:r>
        <w:rPr>
          <w:rFonts w:ascii="Arial" w:hAnsi="Arial" w:cs="Arial"/>
          <w:sz w:val="20"/>
          <w:sz-cs w:val="20"/>
        </w:rPr>
        <w:t xml:space="preserve">SCOTUSblog case tracker, argument calendar</w:t>
      </w:r>
    </w:p>
    <w:p>
      <w:pPr/>
      <w:r>
        <w:rPr>
          <w:rFonts w:ascii="Arial" w:hAnsi="Arial" w:cs="Arial"/>
          <w:sz w:val="20"/>
          <w:sz-cs w:val="20"/>
        </w:rPr>
        <w:t xml:space="preserve">~60 cases/term, bulk opinions in June</w:t>
      </w:r>
    </w:p>
    <w:p>
      <w:pPr/>
      <w:r>
        <w:rPr>
          <w:rFonts w:ascii="Arial" w:hAnsi="Arial" w:cs="Arial"/>
          <w:sz w:val="20"/>
          <w:sz-cs w:val="20"/>
        </w:rPr>
        <w:t xml:space="preserve">After oral argument (2-4 months before opinion)</w:t>
      </w:r>
    </w:p>
    <w:p>
      <w:pPr/>
      <w:r>
        <w:rPr>
          <w:rFonts w:ascii="Arial" w:hAnsi="Arial" w:cs="Arial"/>
          <w:sz w:val="20"/>
          <w:sz-cs w:val="20"/>
        </w:rPr>
        <w:t xml:space="preserve">Elections (US)</w:t>
      </w:r>
    </w:p>
    <w:p>
      <w:pPr/>
      <w:r>
        <w:rPr>
          <w:rFonts w:ascii="Arial" w:hAnsi="Arial" w:cs="Arial"/>
          <w:sz w:val="20"/>
          <w:sz-cs w:val="20"/>
        </w:rPr>
        <w:t xml:space="preserve">State SOS offices, FEC filing deadlines</w:t>
      </w:r>
    </w:p>
    <w:p>
      <w:pPr/>
      <w:r>
        <w:rPr>
          <w:rFonts w:ascii="Arial" w:hAnsi="Arial" w:cs="Arial"/>
          <w:sz w:val="20"/>
          <w:sz-cs w:val="20"/>
        </w:rPr>
        <w:t xml:space="preserve">Primary calendar fixed 12+ months out</w:t>
      </w:r>
    </w:p>
    <w:p>
      <w:pPr/>
      <w:r>
        <w:rPr>
          <w:rFonts w:ascii="Arial" w:hAnsi="Arial" w:cs="Arial"/>
          <w:sz w:val="20"/>
          <w:sz-cs w:val="20"/>
        </w:rPr>
        <w:t xml:space="preserve">6-12 months for primaries, 18 months for general</w:t>
      </w:r>
    </w:p>
    <w:p>
      <w:pPr/>
      <w:r>
        <w:rPr>
          <w:rFonts w:ascii="Arial" w:hAnsi="Arial" w:cs="Arial"/>
          <w:sz w:val="20"/>
          <w:sz-cs w:val="20"/>
        </w:rPr>
        <w:t xml:space="preserve">Congress</w:t>
      </w:r>
    </w:p>
    <w:p>
      <w:pPr/>
      <w:r>
        <w:rPr>
          <w:rFonts w:ascii="Arial" w:hAnsi="Arial" w:cs="Arial"/>
          <w:sz w:val="20"/>
          <w:sz-cs w:val="20"/>
        </w:rPr>
        <w:t xml:space="preserve">Congressional calendar, CBO scoring dates</w:t>
      </w:r>
    </w:p>
    <w:p>
      <w:pPr/>
      <w:r>
        <w:rPr>
          <w:rFonts w:ascii="Arial" w:hAnsi="Arial" w:cs="Arial"/>
          <w:sz w:val="20"/>
          <w:sz-cs w:val="20"/>
        </w:rPr>
        <w:t xml:space="preserve">Ongoing (session-dependent)</w:t>
      </w:r>
    </w:p>
    <w:p>
      <w:pPr/>
      <w:r>
        <w:rPr>
          <w:rFonts w:ascii="Arial" w:hAnsi="Arial" w:cs="Arial"/>
          <w:sz w:val="20"/>
          <w:sz-cs w:val="20"/>
        </w:rPr>
        <w:t xml:space="preserve">When legislation moves to floor vote</w:t>
      </w:r>
    </w:p>
    <w:p>
      <w:pPr/>
      <w:r>
        <w:rPr>
          <w:rFonts w:ascii="Arial" w:hAnsi="Arial" w:cs="Arial"/>
          <w:sz w:val="20"/>
          <w:sz-cs w:val="20"/>
        </w:rPr>
        <w:t xml:space="preserve">Earnings</w:t>
      </w:r>
    </w:p>
    <w:p>
      <w:pPr/>
      <w:r>
        <w:rPr>
          <w:rFonts w:ascii="Arial" w:hAnsi="Arial" w:cs="Arial"/>
          <w:sz w:val="20"/>
          <w:sz-cs w:val="20"/>
        </w:rPr>
        <w:t xml:space="preserve">Company IR calendars, earnings whisper sites</w:t>
      </w:r>
    </w:p>
    <w:p>
      <w:pPr/>
      <w:r>
        <w:rPr>
          <w:rFonts w:ascii="Arial" w:hAnsi="Arial" w:cs="Arial"/>
          <w:sz w:val="20"/>
          <w:sz-cs w:val="20"/>
        </w:rPr>
        <w:t xml:space="preserve">~2,000 S&amp;P 500 reports/year</w:t>
      </w:r>
    </w:p>
    <w:p>
      <w:pPr/>
      <w:r>
        <w:rPr>
          <w:rFonts w:ascii="Arial" w:hAnsi="Arial" w:cs="Arial"/>
          <w:sz w:val="20"/>
          <w:sz-cs w:val="20"/>
        </w:rPr>
        <w:t xml:space="preserve">2-3 weeks before report date</w:t>
      </w:r>
    </w:p>
    <w:p>
      <w:pPr/>
      <w:r>
        <w:rPr>
          <w:rFonts w:ascii="Arial" w:hAnsi="Arial" w:cs="Arial"/>
          <w:sz w:val="20"/>
          <w:sz-cs w:val="20"/>
        </w:rPr>
        <w:t xml:space="preserve">Weather / Hurricane</w:t>
      </w:r>
    </w:p>
    <w:p>
      <w:pPr/>
      <w:r>
        <w:rPr>
          <w:rFonts w:ascii="Arial" w:hAnsi="Arial" w:cs="Arial"/>
          <w:sz w:val="20"/>
          <w:sz-cs w:val="20"/>
        </w:rPr>
        <w:t xml:space="preserve">NOAA seasonal outlook (May), NHC storm tracking</w:t>
      </w:r>
    </w:p>
    <w:p>
      <w:pPr/>
      <w:r>
        <w:rPr>
          <w:rFonts w:ascii="Arial" w:hAnsi="Arial" w:cs="Arial"/>
          <w:sz w:val="20"/>
          <w:sz-cs w:val="20"/>
        </w:rPr>
        <w:t xml:space="preserve">6-month season, ~15 named storms/yr</w:t>
      </w:r>
    </w:p>
    <w:p>
      <w:pPr/>
      <w:r>
        <w:rPr>
          <w:rFonts w:ascii="Arial" w:hAnsi="Arial" w:cs="Arial"/>
          <w:sz w:val="20"/>
          <w:sz-cs w:val="20"/>
        </w:rPr>
        <w:t xml:space="preserve">Season outlook: May; per-storm: at formation</w:t>
      </w:r>
    </w:p>
    <w:p>
      <w:pPr/>
      <w:r>
        <w:rPr>
          <w:rFonts w:ascii="Arial" w:hAnsi="Arial" w:cs="Arial"/>
          <w:sz w:val="20"/>
          <w:sz-cs w:val="20"/>
        </w:rPr>
        <w:t xml:space="preserve">Sports Awards</w:t>
      </w:r>
    </w:p>
    <w:p>
      <w:pPr/>
      <w:r>
        <w:rPr>
          <w:rFonts w:ascii="Arial" w:hAnsi="Arial" w:cs="Arial"/>
          <w:sz w:val="20"/>
          <w:sz-cs w:val="20"/>
        </w:rPr>
        <w:t xml:space="preserve">League award voting timelines, ceremony dates</w:t>
      </w:r>
    </w:p>
    <w:p>
      <w:pPr/>
      <w:r>
        <w:rPr>
          <w:rFonts w:ascii="Arial" w:hAnsi="Arial" w:cs="Arial"/>
          <w:sz w:val="20"/>
          <w:sz-cs w:val="20"/>
        </w:rPr>
        <w:t xml:space="preserve">~20 major awards across leagues</w:t>
      </w:r>
    </w:p>
    <w:p>
      <w:pPr/>
      <w:r>
        <w:rPr>
          <w:rFonts w:ascii="Arial" w:hAnsi="Arial" w:cs="Arial"/>
          <w:sz w:val="20"/>
          <w:sz-cs w:val="20"/>
        </w:rPr>
        <w:t xml:space="preserve">After midseason (when race narrows)</w:t>
      </w:r>
    </w:p>
    <w:p>
      <w:pPr/>
      <w:r>
        <w:rPr>
          <w:rFonts w:ascii="Arial" w:hAnsi="Arial" w:cs="Arial"/>
          <w:sz w:val="20"/>
          <w:sz-cs w:val="20"/>
        </w:rPr>
        <w:t xml:space="preserve">Geopolitics / Trade</w:t>
      </w:r>
    </w:p>
    <w:p>
      <w:pPr/>
      <w:r>
        <w:rPr>
          <w:rFonts w:ascii="Arial" w:hAnsi="Arial" w:cs="Arial"/>
          <w:sz w:val="20"/>
          <w:sz-cs w:val="20"/>
        </w:rPr>
        <w:t xml:space="preserve">WTO schedules, G7/G20 summits, USTR announcements</w:t>
      </w:r>
    </w:p>
    <w:p>
      <w:pPr/>
      <w:r>
        <w:rPr>
          <w:rFonts w:ascii="Arial" w:hAnsi="Arial" w:cs="Arial"/>
          <w:sz w:val="20"/>
          <w:sz-cs w:val="20"/>
        </w:rPr>
        <w:t xml:space="preserve">Variable</w:t>
      </w:r>
    </w:p>
    <w:p>
      <w:pPr/>
      <w:r>
        <w:rPr>
          <w:rFonts w:ascii="Arial" w:hAnsi="Arial" w:cs="Arial"/>
          <w:sz w:val="20"/>
          <w:sz-cs w:val="20"/>
        </w:rPr>
        <w:t xml:space="preserve">2-4 weeks before known events</w:t>
      </w:r>
    </w:p>
    <w:p>
      <w:pPr/>
      <w:r>
        <w:rPr>
          <w:rFonts w:ascii="Times" w:hAnsi="Times" w:cs="Times"/>
          <w:sz w:val="24"/>
          <w:sz-cs w:val="24"/>
        </w:rPr>
        <w:t xml:space="preserve">3.3 Calendar Maintenance Process</w:t>
      </w:r>
    </w:p>
    <w:p>
      <w:pPr>
        <w:spacing w:after="160"/>
      </w:pPr>
      <w:r>
        <w:rPr>
          <w:rFonts w:ascii="Times" w:hAnsi="Times" w:cs="Times"/>
          <w:sz w:val="24"/>
          <w:sz-cs w:val="24"/>
        </w:rPr>
        <w:t xml:space="preserve">The Coverage Calendar is not a static document. It requires quarterly planning with monthly refinement:</w:t>
      </w:r>
    </w:p>
    <w:p>
      <w:pPr>
        <w:ind w:left="720" w:first-line="-720"/>
        <w:spacing w:after="80"/>
      </w:pPr>
      <w:r>
        <w:rPr>
          <w:rFonts w:ascii="Times" w:hAnsi="Times" w:cs="Times"/>
          <w:sz w:val="24"/>
          <w:sz-cs w:val="24"/>
          <w:b/>
        </w:rPr>
        <w:t xml:space="preserve"/>
        <w:tab/>
        <w:t xml:space="preserve">•</w:t>
        <w:tab/>
        <w:t xml:space="preserve">Quarterly: </w:t>
      </w:r>
      <w:r>
        <w:rPr>
          <w:rFonts w:ascii="Times" w:hAnsi="Times" w:cs="Times"/>
          <w:sz w:val="24"/>
          <w:sz-cs w:val="24"/>
        </w:rPr>
        <w:t xml:space="preserve">At the start of each quarter, review all domain calendars and populate a rolling 6-month forward schedule. Identify the 20-30 highest-priority events and assign market creation timelines.</w:t>
      </w:r>
    </w:p>
    <w:p>
      <w:pPr>
        <w:ind w:left="720" w:first-line="-720"/>
        <w:spacing w:after="80"/>
      </w:pPr>
      <w:r>
        <w:rPr>
          <w:rFonts w:ascii="Times" w:hAnsi="Times" w:cs="Times"/>
          <w:sz w:val="24"/>
          <w:sz-cs w:val="24"/>
          <w:b/>
        </w:rPr>
        <w:t xml:space="preserve"/>
        <w:tab/>
        <w:t xml:space="preserve">•</w:t>
        <w:tab/>
        <w:t xml:space="preserve">Monthly: </w:t>
      </w:r>
      <w:r>
        <w:rPr>
          <w:rFonts w:ascii="Times" w:hAnsi="Times" w:cs="Times"/>
          <w:sz w:val="24"/>
          <w:sz-cs w:val="24"/>
        </w:rPr>
        <w:t xml:space="preserve">Update the calendar with newly announced events (FDA acceptance of new NDAs, SCOTUS granting certiorari, newly introduced legislation). Remove or defer events that have lost relevance.</w:t>
      </w:r>
    </w:p>
    <w:p>
      <w:pPr>
        <w:ind w:left="720" w:first-line="-720"/>
        <w:spacing w:after="80"/>
      </w:pPr>
      <w:r>
        <w:rPr>
          <w:rFonts w:ascii="Times" w:hAnsi="Times" w:cs="Times"/>
          <w:sz w:val="24"/>
          <w:sz-cs w:val="24"/>
          <w:b/>
        </w:rPr>
        <w:t xml:space="preserve"/>
        <w:tab/>
        <w:t xml:space="preserve">•</w:t>
        <w:tab/>
        <w:t xml:space="preserve">Weekly: </w:t>
      </w:r>
      <w:r>
        <w:rPr>
          <w:rFonts w:ascii="Times" w:hAnsi="Times" w:cs="Times"/>
          <w:sz w:val="24"/>
          <w:sz-cs w:val="24"/>
        </w:rPr>
        <w:t xml:space="preserve">Cross-check the next 4 weeks against existing markets. Flag any upcoming events that lack market coverage and route them through the Evaluation Rubric.</w:t>
      </w:r>
    </w:p>
    <w:p>
      <w:pPr/>
      <w:r>
        <w:rPr>
          <w:rFonts w:ascii="Times" w:hAnsi="Times" w:cs="Times"/>
          <w:sz w:val="24"/>
          <w:sz-cs w:val="24"/>
        </w:rPr>
        <w:t xml:space="preserve">3.4 Example: Q2 2026 Calendar Extract</w:t>
      </w:r>
    </w:p>
    <w:p>
      <w:pPr>
        <w:spacing w:after="160"/>
      </w:pPr>
      <w:r>
        <w:rPr>
          <w:rFonts w:ascii="Times" w:hAnsi="Times" w:cs="Times"/>
          <w:sz w:val="24"/>
          <w:sz-cs w:val="24"/>
        </w:rPr>
        <w:t xml:space="preserve">To illustrate the Coverage Calendar in practice, here is a partial extract of what a Q2 2026 calendar would contain:</w:t>
      </w:r>
    </w:p>
    <w:p>
      <w:pPr/>
      <w:r>
        <w:rPr>
          <w:rFonts w:ascii="Arial" w:hAnsi="Arial" w:cs="Arial"/>
          <w:sz w:val="20"/>
          <w:sz-cs w:val="20"/>
          <w:b/>
        </w:rPr>
        <w:t xml:space="preserve">Date</w:t>
      </w:r>
    </w:p>
    <w:p>
      <w:pPr/>
      <w:r>
        <w:rPr>
          <w:rFonts w:ascii="Arial" w:hAnsi="Arial" w:cs="Arial"/>
          <w:sz w:val="20"/>
          <w:sz-cs w:val="20"/>
          <w:b/>
        </w:rPr>
        <w:t xml:space="preserve">Event</w:t>
      </w:r>
    </w:p>
    <w:p>
      <w:pPr/>
      <w:r>
        <w:rPr>
          <w:rFonts w:ascii="Arial" w:hAnsi="Arial" w:cs="Arial"/>
          <w:sz w:val="20"/>
          <w:sz-cs w:val="20"/>
          <w:b/>
        </w:rPr>
        <w:t xml:space="preserve">Category</w:t>
      </w:r>
    </w:p>
    <w:p>
      <w:pPr/>
      <w:r>
        <w:rPr>
          <w:rFonts w:ascii="Arial" w:hAnsi="Arial" w:cs="Arial"/>
          <w:sz w:val="20"/>
          <w:sz-cs w:val="20"/>
          <w:b/>
        </w:rPr>
        <w:t xml:space="preserve">Market Exists?</w:t>
      </w:r>
    </w:p>
    <w:p>
      <w:pPr/>
      <w:r>
        <w:rPr>
          <w:rFonts w:ascii="Arial" w:hAnsi="Arial" w:cs="Arial"/>
          <w:sz w:val="20"/>
          <w:sz-cs w:val="20"/>
          <w:b/>
        </w:rPr>
        <w:t xml:space="preserve">Action</w:t>
      </w:r>
    </w:p>
    <w:p>
      <w:pPr/>
      <w:r>
        <w:rPr>
          <w:rFonts w:ascii="Arial" w:hAnsi="Arial" w:cs="Arial"/>
          <w:sz w:val="20"/>
          <w:sz-cs w:val="20"/>
        </w:rPr>
        <w:t xml:space="preserve">Apr 10</w:t>
      </w:r>
    </w:p>
    <w:p>
      <w:pPr/>
      <w:r>
        <w:rPr>
          <w:rFonts w:ascii="Arial" w:hAnsi="Arial" w:cs="Arial"/>
          <w:sz w:val="20"/>
          <w:sz-cs w:val="20"/>
        </w:rPr>
        <w:t xml:space="preserve">LLY Orforglipron PDUFA (oral GLP-1)</w:t>
      </w:r>
    </w:p>
    <w:p>
      <w:pPr/>
      <w:r>
        <w:rPr>
          <w:rFonts w:ascii="Arial" w:hAnsi="Arial" w:cs="Arial"/>
          <w:sz w:val="20"/>
          <w:sz-cs w:val="20"/>
        </w:rPr>
        <w:t xml:space="preserve">Health/Biotech</w:t>
      </w:r>
    </w:p>
    <w:p>
      <w:pPr/>
      <w:r>
        <w:rPr>
          <w:rFonts w:ascii="Arial" w:hAnsi="Arial" w:cs="Arial"/>
          <w:sz w:val="20"/>
          <w:sz-cs w:val="20"/>
        </w:rPr>
        <w:t xml:space="preserve">No</w:t>
      </w:r>
    </w:p>
    <w:p>
      <w:pPr/>
      <w:r>
        <w:rPr>
          <w:rFonts w:ascii="Arial" w:hAnsi="Arial" w:cs="Arial"/>
          <w:sz w:val="20"/>
          <w:sz-cs w:val="20"/>
        </w:rPr>
        <w:t xml:space="preserve">Create (high-profile, obesity drug)</w:t>
      </w:r>
    </w:p>
    <w:p>
      <w:pPr/>
      <w:r>
        <w:rPr>
          <w:rFonts w:ascii="Arial" w:hAnsi="Arial" w:cs="Arial"/>
          <w:sz w:val="20"/>
          <w:sz-cs w:val="20"/>
        </w:rPr>
        <w:t xml:space="preserve">Apr 30</w:t>
      </w:r>
    </w:p>
    <w:p>
      <w:pPr/>
      <w:r>
        <w:rPr>
          <w:rFonts w:ascii="Arial" w:hAnsi="Arial" w:cs="Arial"/>
          <w:sz w:val="20"/>
          <w:sz-cs w:val="20"/>
        </w:rPr>
        <w:t xml:space="preserve">CFTC ANPRM comment period closes</w:t>
      </w:r>
    </w:p>
    <w:p>
      <w:pPr/>
      <w:r>
        <w:rPr>
          <w:rFonts w:ascii="Arial" w:hAnsi="Arial" w:cs="Arial"/>
          <w:sz w:val="20"/>
          <w:sz-cs w:val="20"/>
        </w:rPr>
        <w:t xml:space="preserve">Regulatory</w:t>
      </w:r>
    </w:p>
    <w:p>
      <w:pPr/>
      <w:r>
        <w:rPr>
          <w:rFonts w:ascii="Arial" w:hAnsi="Arial" w:cs="Arial"/>
          <w:sz w:val="20"/>
          <w:sz-cs w:val="20"/>
        </w:rPr>
        <w:t xml:space="preserve">Yes (meta)</w:t>
      </w:r>
    </w:p>
    <w:p>
      <w:pPr/>
      <w:r>
        <w:rPr>
          <w:rFonts w:ascii="Arial" w:hAnsi="Arial" w:cs="Arial"/>
          <w:sz w:val="20"/>
          <w:sz-cs w:val="20"/>
        </w:rPr>
        <w:t xml:space="preserve">Monitor for market implications</w:t>
      </w:r>
    </w:p>
    <w:p>
      <w:pPr/>
      <w:r>
        <w:rPr>
          <w:rFonts w:ascii="Arial" w:hAnsi="Arial" w:cs="Arial"/>
          <w:sz w:val="20"/>
          <w:sz-cs w:val="20"/>
        </w:rPr>
        <w:t xml:space="preserve">May 6-7</w:t>
      </w:r>
    </w:p>
    <w:p>
      <w:pPr/>
      <w:r>
        <w:rPr>
          <w:rFonts w:ascii="Arial" w:hAnsi="Arial" w:cs="Arial"/>
          <w:sz w:val="20"/>
          <w:sz-cs w:val="20"/>
        </w:rPr>
        <w:t xml:space="preserve">FOMC Meeting</w:t>
      </w:r>
    </w:p>
    <w:p>
      <w:pPr/>
      <w:r>
        <w:rPr>
          <w:rFonts w:ascii="Arial" w:hAnsi="Arial" w:cs="Arial"/>
          <w:sz w:val="20"/>
          <w:sz-cs w:val="20"/>
        </w:rPr>
        <w:t xml:space="preserve">Fed</w:t>
      </w:r>
    </w:p>
    <w:p>
      <w:pPr/>
      <w:r>
        <w:rPr>
          <w:rFonts w:ascii="Arial" w:hAnsi="Arial" w:cs="Arial"/>
          <w:sz w:val="20"/>
          <w:sz-cs w:val="20"/>
        </w:rPr>
        <w:t xml:space="preserve">Yes</w:t>
      </w:r>
    </w:p>
    <w:p>
      <w:pPr/>
      <w:r>
        <w:rPr>
          <w:rFonts w:ascii="Arial" w:hAnsi="Arial" w:cs="Arial"/>
          <w:sz w:val="20"/>
          <w:sz-cs w:val="20"/>
        </w:rPr>
        <w:t xml:space="preserve">Verify Dot Plot/SEP coverage</w:t>
      </w:r>
    </w:p>
    <w:p>
      <w:pPr/>
      <w:r>
        <w:rPr>
          <w:rFonts w:ascii="Arial" w:hAnsi="Arial" w:cs="Arial"/>
          <w:sz w:val="20"/>
          <w:sz-cs w:val="20"/>
        </w:rPr>
        <w:t xml:space="preserve">May (TBD)</w:t>
      </w:r>
    </w:p>
    <w:p>
      <w:pPr/>
      <w:r>
        <w:rPr>
          <w:rFonts w:ascii="Arial" w:hAnsi="Arial" w:cs="Arial"/>
          <w:sz w:val="20"/>
          <w:sz-cs w:val="20"/>
        </w:rPr>
        <w:t xml:space="preserve">NOAA Hurricane Season Outlook</w:t>
      </w:r>
    </w:p>
    <w:p>
      <w:pPr/>
      <w:r>
        <w:rPr>
          <w:rFonts w:ascii="Arial" w:hAnsi="Arial" w:cs="Arial"/>
          <w:sz w:val="20"/>
          <w:sz-cs w:val="20"/>
        </w:rPr>
        <w:t xml:space="preserve">Weather</w:t>
      </w:r>
    </w:p>
    <w:p>
      <w:pPr/>
      <w:r>
        <w:rPr>
          <w:rFonts w:ascii="Arial" w:hAnsi="Arial" w:cs="Arial"/>
          <w:sz w:val="20"/>
          <w:sz-cs w:val="20"/>
        </w:rPr>
        <w:t xml:space="preserve">No</w:t>
      </w:r>
    </w:p>
    <w:p>
      <w:pPr/>
      <w:r>
        <w:rPr>
          <w:rFonts w:ascii="Arial" w:hAnsi="Arial" w:cs="Arial"/>
          <w:sz w:val="20"/>
          <w:sz-cs w:val="20"/>
        </w:rPr>
        <w:t xml:space="preserve">Create seasonal count range market</w:t>
      </w:r>
    </w:p>
    <w:p>
      <w:pPr/>
      <w:r>
        <w:rPr>
          <w:rFonts w:ascii="Arial" w:hAnsi="Arial" w:cs="Arial"/>
          <w:sz w:val="20"/>
          <w:sz-cs w:val="20"/>
        </w:rPr>
        <w:t xml:space="preserve">Jun (TBD)</w:t>
      </w:r>
    </w:p>
    <w:p>
      <w:pPr/>
      <w:r>
        <w:rPr>
          <w:rFonts w:ascii="Arial" w:hAnsi="Arial" w:cs="Arial"/>
          <w:sz w:val="20"/>
          <w:sz-cs w:val="20"/>
        </w:rPr>
        <w:t xml:space="preserve">SCOTUS June opinion dump</w:t>
      </w:r>
    </w:p>
    <w:p>
      <w:pPr/>
      <w:r>
        <w:rPr>
          <w:rFonts w:ascii="Arial" w:hAnsi="Arial" w:cs="Arial"/>
          <w:sz w:val="20"/>
          <w:sz-cs w:val="20"/>
        </w:rPr>
        <w:t xml:space="preserve">Legal</w:t>
      </w:r>
    </w:p>
    <w:p>
      <w:pPr/>
      <w:r>
        <w:rPr>
          <w:rFonts w:ascii="Arial" w:hAnsi="Arial" w:cs="Arial"/>
          <w:sz w:val="20"/>
          <w:sz-cs w:val="20"/>
        </w:rPr>
        <w:t xml:space="preserve">Partial</w:t>
      </w:r>
    </w:p>
    <w:p>
      <w:pPr/>
      <w:r>
        <w:rPr>
          <w:rFonts w:ascii="Arial" w:hAnsi="Arial" w:cs="Arial"/>
          <w:sz w:val="20"/>
          <w:sz-cs w:val="20"/>
        </w:rPr>
        <w:t xml:space="preserve">Create markets for argued but unresolved cases</w:t>
      </w:r>
    </w:p>
    <w:p>
      <w:pPr/>
      <w:r>
        <w:rPr>
          <w:rFonts w:ascii="Arial" w:hAnsi="Arial" w:cs="Arial"/>
          <w:sz w:val="20"/>
          <w:sz-cs w:val="20"/>
        </w:rPr>
        <w:t xml:space="preserve">Jun 11-12</w:t>
      </w:r>
    </w:p>
    <w:p>
      <w:pPr/>
      <w:r>
        <w:rPr>
          <w:rFonts w:ascii="Arial" w:hAnsi="Arial" w:cs="Arial"/>
          <w:sz w:val="20"/>
          <w:sz-cs w:val="20"/>
        </w:rPr>
        <w:t xml:space="preserve">FOMC Meeting + SEP</w:t>
      </w:r>
    </w:p>
    <w:p>
      <w:pPr/>
      <w:r>
        <w:rPr>
          <w:rFonts w:ascii="Arial" w:hAnsi="Arial" w:cs="Arial"/>
          <w:sz w:val="20"/>
          <w:sz-cs w:val="20"/>
        </w:rPr>
        <w:t xml:space="preserve">Fed</w:t>
      </w:r>
    </w:p>
    <w:p>
      <w:pPr/>
      <w:r>
        <w:rPr>
          <w:rFonts w:ascii="Arial" w:hAnsi="Arial" w:cs="Arial"/>
          <w:sz w:val="20"/>
          <w:sz-cs w:val="20"/>
        </w:rPr>
        <w:t xml:space="preserve">Yes (rate decision)</w:t>
      </w:r>
    </w:p>
    <w:p>
      <w:pPr/>
      <w:r>
        <w:rPr>
          <w:rFonts w:ascii="Arial" w:hAnsi="Arial" w:cs="Arial"/>
          <w:sz w:val="20"/>
          <w:sz-cs w:val="20"/>
        </w:rPr>
        <w:t xml:space="preserve">Create Dot Plot market if rubric passes</w:t>
      </w:r>
    </w:p>
    <w:p>
      <w:pPr/>
      <w:r>
        <w:rPr>
          <w:rFonts w:ascii="Arial" w:hAnsi="Arial" w:cs="Arial"/>
          <w:sz w:val="20"/>
          <w:sz-cs w:val="20"/>
        </w:rPr>
        <w:t xml:space="preserve">Jun 14-Jul 14</w:t>
      </w:r>
    </w:p>
    <w:p>
      <w:pPr/>
      <w:r>
        <w:rPr>
          <w:rFonts w:ascii="Arial" w:hAnsi="Arial" w:cs="Arial"/>
          <w:sz w:val="20"/>
          <w:sz-cs w:val="20"/>
        </w:rPr>
        <w:t xml:space="preserve">2026 FIFA World Cup</w:t>
      </w:r>
    </w:p>
    <w:p>
      <w:pPr/>
      <w:r>
        <w:rPr>
          <w:rFonts w:ascii="Arial" w:hAnsi="Arial" w:cs="Arial"/>
          <w:sz w:val="20"/>
          <w:sz-cs w:val="20"/>
        </w:rPr>
        <w:t xml:space="preserve">Sports</w:t>
      </w:r>
    </w:p>
    <w:p>
      <w:pPr/>
      <w:r>
        <w:rPr>
          <w:rFonts w:ascii="Arial" w:hAnsi="Arial" w:cs="Arial"/>
          <w:sz w:val="20"/>
          <w:sz-cs w:val="20"/>
        </w:rPr>
        <w:t xml:space="preserve">Yes</w:t>
      </w:r>
    </w:p>
    <w:p>
      <w:pPr/>
      <w:r>
        <w:rPr>
          <w:rFonts w:ascii="Arial" w:hAnsi="Arial" w:cs="Arial"/>
          <w:sz w:val="20"/>
          <w:sz-cs w:val="20"/>
        </w:rPr>
        <w:t xml:space="preserve">Verify group stage + knockout coverage</w:t>
      </w:r>
    </w:p>
    <w:p>
      <w:pPr>
        <w:spacing w:after="160"/>
      </w:pPr>
      <w:r>
        <w:rPr>
          <w:rFonts w:ascii="Times" w:hAnsi="Times" w:cs="Times"/>
          <w:sz w:val="24"/>
          <w:sz-cs w:val="24"/>
        </w:rPr>
        <w:t xml:space="preserve">This illustrative extract demonstrates how the calendar surfaces the Orforglipron PDUFA date (a high-profile obesity drug from Eli Lilly that would be among the first Health &amp; Biotech markets) and the NOAA hurricane outlook (a seasonal count market opportunity) alongside routine coverage verification for existing Fed and SCOTUS markets. Without a systematic calendar, these events would depend on individual team members happening to notice them.</w:t>
      </w:r>
    </w:p>
    <w:p>
      <w:pPr/>
      <w:r>
        <w:rPr>
          <w:rFonts w:ascii="Times" w:hAnsi="Times" w:cs="Times"/>
          <w:sz w:val="24"/>
          <w:sz-cs w:val="24"/>
        </w:rPr>
        <w:t xml:space="preserve"/>
        <w:br w:type="page"/>
        <w:t xml:space="preserve"/>
      </w:r>
    </w:p>
    <w:p>
      <w:pPr/>
      <w:r>
        <w:rPr>
          <w:rFonts w:ascii="Times" w:hAnsi="Times" w:cs="Times"/>
          <w:sz w:val="24"/>
          <w:sz-cs w:val="24"/>
        </w:rPr>
        <w:t xml:space="preserve">4. Component 2: Candidate Evaluation Rubric</w:t>
      </w:r>
    </w:p>
    <w:p>
      <w:pPr/>
      <w:r>
        <w:rPr>
          <w:rFonts w:ascii="Times" w:hAnsi="Times" w:cs="Times"/>
          <w:sz w:val="24"/>
          <w:sz-cs w:val="24"/>
        </w:rPr>
        <w:t xml:space="preserve">4.1 Purpose</w:t>
      </w:r>
    </w:p>
    <w:p>
      <w:pPr>
        <w:spacing w:after="160"/>
      </w:pPr>
      <w:r>
        <w:rPr>
          <w:rFonts w:ascii="Times" w:hAnsi="Times" w:cs="Times"/>
          <w:sz w:val="24"/>
          <w:sz-cs w:val="24"/>
        </w:rPr>
        <w:t xml:space="preserve">The Evaluation Rubric is a standardized scoring framework that any team member can apply to a proposed market, regardless of whether the candidate originated from the Coverage Calendar, the Signal Detection Layer, a user request, or an ad hoc team idea. Its purpose is to impose consistent quality standards and to make the decision to create or decline a market explicit, documented, and repeatable.</w:t>
      </w:r>
    </w:p>
    <w:p>
      <w:pPr/>
      <w:r>
        <w:rPr>
          <w:rFonts w:ascii="Times" w:hAnsi="Times" w:cs="Times"/>
          <w:sz w:val="24"/>
          <w:sz-cs w:val="24"/>
        </w:rPr>
        <w:t xml:space="preserve">4.2 The Six Dimensions</w:t>
      </w:r>
    </w:p>
    <w:p>
      <w:pPr>
        <w:spacing w:after="160"/>
      </w:pPr>
      <w:r>
        <w:rPr>
          <w:rFonts w:ascii="Times" w:hAnsi="Times" w:cs="Times"/>
          <w:sz w:val="24"/>
          <w:sz-cs w:val="24"/>
        </w:rPr>
        <w:t xml:space="preserve">The rubric scores each candidate on six dimensions. The first four were established in the companion Assessment Matrix; the final two were identified through a second-pass review of what that initial framework missed.</w:t>
      </w:r>
    </w:p>
    <w:p>
      <w:pPr>
        <w:spacing w:after="120"/>
      </w:pPr>
      <w:r>
        <w:rPr>
          <w:rFonts w:ascii="Times" w:hAnsi="Times" w:cs="Times"/>
          <w:sz w:val="24"/>
          <w:sz-cs w:val="24"/>
        </w:rPr>
        <w:t xml:space="preserve"/>
      </w:r>
    </w:p>
    <w:p>
      <w:pPr/>
      <w:r>
        <w:rPr>
          <w:rFonts w:ascii="Times" w:hAnsi="Times" w:cs="Times"/>
          <w:sz w:val="24"/>
          <w:sz-cs w:val="24"/>
        </w:rPr>
        <w:t xml:space="preserve">Dimension 1: Regulatory Risk</w:t>
      </w:r>
    </w:p>
    <w:p>
      <w:pPr>
        <w:spacing w:after="160"/>
      </w:pPr>
      <w:r>
        <w:rPr>
          <w:rFonts w:ascii="Times" w:hAnsi="Times" w:cs="Times"/>
          <w:sz w:val="24"/>
          <w:sz-cs w:val="24"/>
          <w:b/>
        </w:rPr>
        <w:t xml:space="preserve">Question: </w:t>
      </w:r>
      <w:r>
        <w:rPr>
          <w:rFonts w:ascii="Times" w:hAnsi="Times" w:cs="Times"/>
          <w:sz w:val="24"/>
          <w:sz-cs w:val="24"/>
        </w:rPr>
        <w:t xml:space="preserve">Does this market type face specific regulatory scrutiny that could result in enforcement action, legislative prohibition, or reputational damage?</w:t>
      </w:r>
    </w:p>
    <w:p>
      <w:pPr>
        <w:spacing w:after="160"/>
      </w:pPr>
      <w:r>
        <w:rPr>
          <w:rFonts w:ascii="Times" w:hAnsi="Times" w:cs="Times"/>
          <w:sz w:val="24"/>
          <w:sz-cs w:val="24"/>
          <w:b/>
        </w:rPr>
        <w:t xml:space="preserve">Scoring guidance:</w:t>
      </w:r>
    </w:p>
    <w:p>
      <w:pPr>
        <w:ind w:left="720" w:first-line="-720"/>
        <w:spacing w:after="80"/>
      </w:pPr>
      <w:r>
        <w:rPr>
          <w:rFonts w:ascii="Times" w:hAnsi="Times" w:cs="Times"/>
          <w:sz w:val="24"/>
          <w:sz-cs w:val="24"/>
          <w:b/>
        </w:rPr>
        <w:t xml:space="preserve"/>
        <w:tab/>
        <w:t xml:space="preserve">•</w:t>
        <w:tab/>
        <w:t xml:space="preserve">Low: </w:t>
      </w:r>
      <w:r>
        <w:rPr>
          <w:rFonts w:ascii="Times" w:hAnsi="Times" w:cs="Times"/>
          <w:sz w:val="24"/>
          <w:sz-cs w:val="24"/>
        </w:rPr>
        <w:t xml:space="preserve">The market type has established legal precedent or falls within uncontested CFTC jurisdiction. Examples: political event contracts (validated by Kalshi v. CFTC, Oct 2024), economic indicator markets, weather/climate markets.</w:t>
      </w:r>
    </w:p>
    <w:p>
      <w:pPr>
        <w:ind w:left="720" w:first-line="-720"/>
        <w:spacing w:after="80"/>
      </w:pPr>
      <w:r>
        <w:rPr>
          <w:rFonts w:ascii="Times" w:hAnsi="Times" w:cs="Times"/>
          <w:sz w:val="24"/>
          <w:sz-cs w:val="24"/>
          <w:b/>
        </w:rPr>
        <w:t xml:space="preserve"/>
        <w:tab/>
        <w:t xml:space="preserve">•</w:t>
        <w:tab/>
        <w:t xml:space="preserve">Medium: </w:t>
      </w:r>
      <w:r>
        <w:rPr>
          <w:rFonts w:ascii="Times" w:hAnsi="Times" w:cs="Times"/>
          <w:sz w:val="24"/>
          <w:sz-cs w:val="24"/>
        </w:rPr>
        <w:t xml:space="preserve">The market type is permissible but faces active regulatory questions. Examples: biotech markets (insider trading concerns, CFTC ANPRM asking about MNPI treatment), tariff markets (government insider risk), aggregate sports contracts (CFTC Advisory calls these more defensible but Gambling Act could still apply).</w:t>
      </w:r>
    </w:p>
    <w:p>
      <w:pPr>
        <w:ind w:left="720" w:first-line="-720"/>
        <w:spacing w:after="80"/>
      </w:pPr>
      <w:r>
        <w:rPr>
          <w:rFonts w:ascii="Times" w:hAnsi="Times" w:cs="Times"/>
          <w:sz w:val="24"/>
          <w:sz-cs w:val="24"/>
          <w:b/>
        </w:rPr>
        <w:t xml:space="preserve"/>
        <w:tab/>
        <w:t xml:space="preserve">•</w:t>
        <w:tab/>
        <w:t xml:space="preserve">High: </w:t>
      </w:r>
      <w:r>
        <w:rPr>
          <w:rFonts w:ascii="Times" w:hAnsi="Times" w:cs="Times"/>
          <w:sz w:val="24"/>
          <w:sz-cs w:val="24"/>
        </w:rPr>
        <w:t xml:space="preserve">The market type is under direct regulatory challenge. Examples: per-game player props (CFTC Advisory flags individual performance as ‘viewed more skeptically’), in-game live markets (single-actor manipulation risk), any sports contract if the Prediction Markets Are Gambling Act passes.</w:t>
      </w:r>
    </w:p>
    <w:p>
      <w:pPr>
        <w:spacing w:after="160"/>
      </w:pPr>
      <w:r>
        <w:rPr>
          <w:rFonts w:ascii="Times" w:hAnsi="Times" w:cs="Times"/>
          <w:sz w:val="24"/>
          <w:sz-cs w:val="24"/>
          <w:b/>
        </w:rPr>
        <w:t xml:space="preserve">Key regulatory references: </w:t>
      </w:r>
      <w:r>
        <w:rPr>
          <w:rFonts w:ascii="Times" w:hAnsi="Times" w:cs="Times"/>
          <w:sz w:val="24"/>
          <w:sz-cs w:val="24"/>
        </w:rPr>
        <w:t xml:space="preserve">CFTC Staff Advisory No. 26-08 (Mar 12, 2026), CFTC ANPRM on prediction markets (Mar 16, 2026, comments due Apr 30, 2026), Prediction Markets Are Gambling Act (Schiff/Curtis, Mar 2026), Arizona AG criminal charges against Kalshi (Mar 17, 2026), CFTC Enforcement Advisory on insider trading (Feb 2026).</w:t>
      </w:r>
    </w:p>
    <w:p>
      <w:pPr>
        <w:spacing w:after="120"/>
      </w:pPr>
      <w:r>
        <w:rPr>
          <w:rFonts w:ascii="Times" w:hAnsi="Times" w:cs="Times"/>
          <w:sz w:val="24"/>
          <w:sz-cs w:val="24"/>
        </w:rPr>
        <w:t xml:space="preserve"/>
      </w:r>
    </w:p>
    <w:p>
      <w:pPr/>
      <w:r>
        <w:rPr>
          <w:rFonts w:ascii="Times" w:hAnsi="Times" w:cs="Times"/>
          <w:sz w:val="24"/>
          <w:sz-cs w:val="24"/>
        </w:rPr>
        <w:t xml:space="preserve">Dimension 2: Wisdom-of-Crowds Value</w:t>
      </w:r>
    </w:p>
    <w:p>
      <w:pPr>
        <w:spacing w:after="160"/>
      </w:pPr>
      <w:r>
        <w:rPr>
          <w:rFonts w:ascii="Times" w:hAnsi="Times" w:cs="Times"/>
          <w:sz w:val="24"/>
          <w:sz-cs w:val="24"/>
          <w:b/>
        </w:rPr>
        <w:t xml:space="preserve">Question: </w:t>
      </w:r>
      <w:r>
        <w:rPr>
          <w:rFonts w:ascii="Times" w:hAnsi="Times" w:cs="Times"/>
          <w:sz w:val="24"/>
          <w:sz-cs w:val="24"/>
        </w:rPr>
        <w:t xml:space="preserve">Does a crowd-sourced probability for this outcome produce useful informational signal beyond what already exists?</w:t>
      </w:r>
    </w:p>
    <w:p>
      <w:pPr>
        <w:spacing w:after="160"/>
      </w:pPr>
      <w:r>
        <w:rPr>
          <w:rFonts w:ascii="Times" w:hAnsi="Times" w:cs="Times"/>
          <w:sz w:val="24"/>
          <w:sz-cs w:val="24"/>
        </w:rPr>
        <w:t xml:space="preserve">This dimension distinguishes markets that generate genuine forecasting value from markets that are purely entertainment or speculative products. Both types are commercially viable, but WoC-value markets have three advantages: they attract higher-information traders (who contribute to tighter spreads), they generate media citations and institutional attention, and they provide the strongest defense against the ‘just gambling’ criticism that regulators and legislators invoke.</w:t>
      </w:r>
    </w:p>
    <w:p>
      <w:pPr>
        <w:spacing w:after="160"/>
      </w:pPr>
      <w:r>
        <w:rPr>
          <w:rFonts w:ascii="Times" w:hAnsi="Times" w:cs="Times"/>
          <w:sz w:val="24"/>
          <w:sz-cs w:val="24"/>
          <w:b/>
        </w:rPr>
        <w:t xml:space="preserve">Scoring criteria:</w:t>
      </w:r>
    </w:p>
    <w:p>
      <w:pPr>
        <w:ind w:left="720" w:first-line="-720"/>
        <w:spacing w:after="80"/>
      </w:pPr>
      <w:r>
        <w:rPr>
          <w:rFonts w:ascii="Times" w:hAnsi="Times" w:cs="Times"/>
          <w:sz w:val="24"/>
          <w:sz-cs w:val="24"/>
          <w:b/>
        </w:rPr>
        <w:t xml:space="preserve"/>
        <w:tab/>
        <w:t xml:space="preserve">•</w:t>
        <w:tab/>
        <w:t xml:space="preserve">Information dispersion: </w:t>
      </w:r>
      <w:r>
        <w:rPr>
          <w:rFonts w:ascii="Times" w:hAnsi="Times" w:cs="Times"/>
          <w:sz w:val="24"/>
          <w:sz-cs w:val="24"/>
        </w:rPr>
        <w:t xml:space="preserve">Is relevant knowledge spread across many participants (political intelligence across thousands of local observers) or concentrated among a few insiders (a single athlete who knows if they’re injured)?</w:t>
      </w:r>
    </w:p>
    <w:p>
      <w:pPr>
        <w:ind w:left="720" w:first-line="-720"/>
        <w:spacing w:after="80"/>
      </w:pPr>
      <w:r>
        <w:rPr>
          <w:rFonts w:ascii="Times" w:hAnsi="Times" w:cs="Times"/>
          <w:sz w:val="24"/>
          <w:sz-cs w:val="24"/>
          <w:b/>
        </w:rPr>
        <w:t xml:space="preserve"/>
        <w:tab/>
        <w:t xml:space="preserve">•</w:t>
        <w:tab/>
        <w:t xml:space="preserve">Genuine uncertainty: </w:t>
      </w:r>
      <w:r>
        <w:rPr>
          <w:rFonts w:ascii="Times" w:hAnsi="Times" w:cs="Times"/>
          <w:sz w:val="24"/>
          <w:sz-cs w:val="24"/>
        </w:rPr>
        <w:t xml:space="preserve">Is the outcome truly uncertain, or do efficient existing markets already price it with deep liquidity and professional odds-making?</w:t>
      </w:r>
    </w:p>
    <w:p>
      <w:pPr>
        <w:ind w:left="720" w:first-line="-720"/>
        <w:spacing w:after="80"/>
      </w:pPr>
      <w:r>
        <w:rPr>
          <w:rFonts w:ascii="Times" w:hAnsi="Times" w:cs="Times"/>
          <w:sz w:val="24"/>
          <w:sz-cs w:val="24"/>
          <w:b/>
        </w:rPr>
        <w:t xml:space="preserve"/>
        <w:tab/>
        <w:t xml:space="preserve">•</w:t>
        <w:tab/>
        <w:t xml:space="preserve">Actionability: </w:t>
      </w:r>
      <w:r>
        <w:rPr>
          <w:rFonts w:ascii="Times" w:hAnsi="Times" w:cs="Times"/>
          <w:sz w:val="24"/>
          <w:sz-cs w:val="24"/>
        </w:rPr>
        <w:t xml:space="preserve">Can external actors—campaigns, portfolio managers, policymakers, healthcare planners—use the probability signal to make better real-world decisions?</w:t>
      </w:r>
    </w:p>
    <w:p>
      <w:pPr>
        <w:ind w:left="720" w:first-line="-720"/>
        <w:spacing w:after="80"/>
      </w:pPr>
      <w:r>
        <w:rPr>
          <w:rFonts w:ascii="Times" w:hAnsi="Times" w:cs="Times"/>
          <w:sz w:val="24"/>
          <w:sz-cs w:val="24"/>
          <w:b/>
        </w:rPr>
        <w:t xml:space="preserve"/>
        <w:tab/>
        <w:t xml:space="preserve">•</w:t>
        <w:tab/>
        <w:t xml:space="preserve">Absence of alternatives: </w:t>
      </w:r>
      <w:r>
        <w:rPr>
          <w:rFonts w:ascii="Times" w:hAnsi="Times" w:cs="Times"/>
          <w:sz w:val="24"/>
          <w:sz-cs w:val="24"/>
        </w:rPr>
        <w:t xml:space="preserve">Does an efficient existing mechanism already aggregate this information? Sportsbook odds, options markets, and polling averages all serve this function in their respective domains.</w:t>
      </w:r>
    </w:p>
    <w:p>
      <w:pPr>
        <w:spacing w:after="160"/>
      </w:pPr>
      <w:r>
        <w:rPr>
          <w:rFonts w:ascii="Times" w:hAnsi="Times" w:cs="Times"/>
          <w:sz w:val="24"/>
          <w:sz-cs w:val="24"/>
          <w:b/>
        </w:rPr>
        <w:t xml:space="preserve">Example application: </w:t>
      </w:r>
      <w:r>
        <w:rPr>
          <w:rFonts w:ascii="Times" w:hAnsi="Times" w:cs="Times"/>
          <w:sz w:val="24"/>
          <w:sz-cs w:val="24"/>
        </w:rPr>
        <w:t xml:space="preserve">A VP nominee prediction market scores high on all four criteria: political intelligence is dispersed across donors, operatives, and media (high dispersion); VP selection is genuinely uncertain until the announcement (genuine uncertainty); campaigns and media use VP speculation to assess ticket strength (actionable); and no existing financial instrument isolates VP selection probability (no alternative). By contrast, a per-game NBA player points over/under scores low: sportsbooks already price this with professional models, deep liquidity, and tight spreads, leaving little informational gap for a prediction market to fill.</w:t>
      </w:r>
    </w:p>
    <w:p>
      <w:pPr>
        <w:spacing w:after="120"/>
      </w:pPr>
      <w:r>
        <w:rPr>
          <w:rFonts w:ascii="Times" w:hAnsi="Times" w:cs="Times"/>
          <w:sz w:val="24"/>
          <w:sz-cs w:val="24"/>
        </w:rPr>
        <w:t xml:space="preserve"/>
      </w:r>
    </w:p>
    <w:p>
      <w:pPr/>
      <w:r>
        <w:rPr>
          <w:rFonts w:ascii="Times" w:hAnsi="Times" w:cs="Times"/>
          <w:sz w:val="24"/>
          <w:sz-cs w:val="24"/>
        </w:rPr>
        <w:t xml:space="preserve">Dimension 3: Estimated Attainable Volume</w:t>
      </w:r>
    </w:p>
    <w:p>
      <w:pPr>
        <w:spacing w:after="160"/>
      </w:pPr>
      <w:r>
        <w:rPr>
          <w:rFonts w:ascii="Times" w:hAnsi="Times" w:cs="Times"/>
          <w:sz w:val="24"/>
          <w:sz-cs w:val="24"/>
          <w:b/>
        </w:rPr>
        <w:t xml:space="preserve">Question: </w:t>
      </w:r>
      <w:r>
        <w:rPr>
          <w:rFonts w:ascii="Times" w:hAnsi="Times" w:cs="Times"/>
          <w:sz w:val="24"/>
          <w:sz-cs w:val="24"/>
        </w:rPr>
        <w:t xml:space="preserve">What is the realistic volume this market could generate based on comparable existing markets, traditional analogs, and audience size?</w:t>
      </w:r>
    </w:p>
    <w:p>
      <w:pPr>
        <w:spacing w:after="160"/>
      </w:pPr>
      <w:r>
        <w:rPr>
          <w:rFonts w:ascii="Times" w:hAnsi="Times" w:cs="Times"/>
          <w:sz w:val="24"/>
          <w:sz-cs w:val="24"/>
        </w:rPr>
        <w:t xml:space="preserve">Volume estimation requires a reference class. The most reliable method is to benchmark against existing Polymarket markets in similar categories and adjust for audience size and engagement intensity. The table below provides reference points:</w:t>
      </w:r>
    </w:p>
    <w:p>
      <w:pPr/>
      <w:r>
        <w:rPr>
          <w:rFonts w:ascii="Arial" w:hAnsi="Arial" w:cs="Arial"/>
          <w:sz w:val="20"/>
          <w:sz-cs w:val="20"/>
          <w:b/>
        </w:rPr>
        <w:t xml:space="preserve">Reference Market</w:t>
      </w:r>
    </w:p>
    <w:p>
      <w:pPr/>
      <w:r>
        <w:rPr>
          <w:rFonts w:ascii="Arial" w:hAnsi="Arial" w:cs="Arial"/>
          <w:sz w:val="20"/>
          <w:sz-cs w:val="20"/>
          <w:b/>
        </w:rPr>
        <w:t xml:space="preserve">Volume</w:t>
      </w:r>
    </w:p>
    <w:p>
      <w:pPr/>
      <w:r>
        <w:rPr>
          <w:rFonts w:ascii="Arial" w:hAnsi="Arial" w:cs="Arial"/>
          <w:sz w:val="20"/>
          <w:sz-cs w:val="20"/>
          <w:b/>
        </w:rPr>
        <w:t xml:space="preserve">Implication</w:t>
      </w:r>
    </w:p>
    <w:p>
      <w:pPr/>
      <w:r>
        <w:rPr>
          <w:rFonts w:ascii="Arial" w:hAnsi="Arial" w:cs="Arial"/>
          <w:sz w:val="20"/>
          <w:sz-cs w:val="20"/>
        </w:rPr>
        <w:t xml:space="preserve">Dem Nominee 2028</w:t>
      </w:r>
    </w:p>
    <w:p>
      <w:pPr/>
      <w:r>
        <w:rPr>
          <w:rFonts w:ascii="Arial" w:hAnsi="Arial" w:cs="Arial"/>
          <w:sz w:val="20"/>
          <w:sz-cs w:val="20"/>
        </w:rPr>
        <w:t xml:space="preserve">$922.9M</w:t>
      </w:r>
    </w:p>
    <w:p>
      <w:pPr/>
      <w:r>
        <w:rPr>
          <w:rFonts w:ascii="Arial" w:hAnsi="Arial" w:cs="Arial"/>
          <w:sz w:val="20"/>
          <w:sz-cs w:val="20"/>
        </w:rPr>
        <w:t xml:space="preserve">Ceiling for multi-month, high-salience political markets</w:t>
      </w:r>
    </w:p>
    <w:p>
      <w:pPr/>
      <w:r>
        <w:rPr>
          <w:rFonts w:ascii="Arial" w:hAnsi="Arial" w:cs="Arial"/>
          <w:sz w:val="20"/>
          <w:sz-cs w:val="20"/>
        </w:rPr>
        <w:t xml:space="preserve">Interest Rates aggregate</w:t>
      </w:r>
    </w:p>
    <w:p>
      <w:pPr/>
      <w:r>
        <w:rPr>
          <w:rFonts w:ascii="Arial" w:hAnsi="Arial" w:cs="Arial"/>
          <w:sz w:val="20"/>
          <w:sz-cs w:val="20"/>
        </w:rPr>
        <w:t xml:space="preserve">$538.4M</w:t>
      </w:r>
    </w:p>
    <w:p>
      <w:pPr/>
      <w:r>
        <w:rPr>
          <w:rFonts w:ascii="Arial" w:hAnsi="Arial" w:cs="Arial"/>
          <w:sz w:val="20"/>
          <w:sz-cs w:val="20"/>
        </w:rPr>
        <w:t xml:space="preserve">Ceiling for recurring financial event markets</w:t>
      </w:r>
    </w:p>
    <w:p>
      <w:pPr/>
      <w:r>
        <w:rPr>
          <w:rFonts w:ascii="Arial" w:hAnsi="Arial" w:cs="Arial"/>
          <w:sz w:val="20"/>
          <w:sz-cs w:val="20"/>
        </w:rPr>
        <w:t xml:space="preserve">Iran strikes</w:t>
      </w:r>
    </w:p>
    <w:p>
      <w:pPr/>
      <w:r>
        <w:rPr>
          <w:rFonts w:ascii="Arial" w:hAnsi="Arial" w:cs="Arial"/>
          <w:sz w:val="20"/>
          <w:sz-cs w:val="20"/>
        </w:rPr>
        <w:t xml:space="preserve">$127M</w:t>
      </w:r>
    </w:p>
    <w:p>
      <w:pPr/>
      <w:r>
        <w:rPr>
          <w:rFonts w:ascii="Arial" w:hAnsi="Arial" w:cs="Arial"/>
          <w:sz w:val="20"/>
          <w:sz-cs w:val="20"/>
        </w:rPr>
        <w:t xml:space="preserve">Ceiling for reactive geopolitical event markets</w:t>
      </w:r>
    </w:p>
    <w:p>
      <w:pPr/>
      <w:r>
        <w:rPr>
          <w:rFonts w:ascii="Arial" w:hAnsi="Arial" w:cs="Arial"/>
          <w:sz w:val="20"/>
          <w:sz-cs w:val="20"/>
        </w:rPr>
        <w:t xml:space="preserve">Culture aggregate</w:t>
      </w:r>
    </w:p>
    <w:p>
      <w:pPr/>
      <w:r>
        <w:rPr>
          <w:rFonts w:ascii="Arial" w:hAnsi="Arial" w:cs="Arial"/>
          <w:sz w:val="20"/>
          <w:sz-cs w:val="20"/>
        </w:rPr>
        <w:t xml:space="preserve">$149.1M</w:t>
      </w:r>
    </w:p>
    <w:p>
      <w:pPr/>
      <w:r>
        <w:rPr>
          <w:rFonts w:ascii="Arial" w:hAnsi="Arial" w:cs="Arial"/>
          <w:sz w:val="20"/>
          <w:sz-cs w:val="20"/>
        </w:rPr>
        <w:t xml:space="preserve">Ceiling for long-tail entertainment markets</w:t>
      </w:r>
    </w:p>
    <w:p>
      <w:pPr/>
      <w:r>
        <w:rPr>
          <w:rFonts w:ascii="Arial" w:hAnsi="Arial" w:cs="Arial"/>
          <w:sz w:val="20"/>
          <w:sz-cs w:val="20"/>
        </w:rPr>
        <w:t xml:space="preserve">Best AI model (monthly)</w:t>
      </w:r>
    </w:p>
    <w:p>
      <w:pPr/>
      <w:r>
        <w:rPr>
          <w:rFonts w:ascii="Arial" w:hAnsi="Arial" w:cs="Arial"/>
          <w:sz w:val="20"/>
          <w:sz-cs w:val="20"/>
        </w:rPr>
        <w:t xml:space="preserve">$9M</w:t>
      </w:r>
    </w:p>
    <w:p>
      <w:pPr/>
      <w:r>
        <w:rPr>
          <w:rFonts w:ascii="Arial" w:hAnsi="Arial" w:cs="Arial"/>
          <w:sz w:val="20"/>
          <w:sz-cs w:val="20"/>
        </w:rPr>
        <w:t xml:space="preserve">Benchmark for recurring tech/ranking markets</w:t>
      </w:r>
    </w:p>
    <w:p>
      <w:pPr/>
      <w:r>
        <w:rPr>
          <w:rFonts w:ascii="Arial" w:hAnsi="Arial" w:cs="Arial"/>
          <w:sz w:val="20"/>
          <w:sz-cs w:val="20"/>
        </w:rPr>
        <w:t xml:space="preserve">SCOTUS tariff ruling</w:t>
      </w:r>
    </w:p>
    <w:p>
      <w:pPr/>
      <w:r>
        <w:rPr>
          <w:rFonts w:ascii="Arial" w:hAnsi="Arial" w:cs="Arial"/>
          <w:sz w:val="20"/>
          <w:sz-cs w:val="20"/>
        </w:rPr>
        <w:t xml:space="preserve">$9M (cross-platform)</w:t>
      </w:r>
    </w:p>
    <w:p>
      <w:pPr/>
      <w:r>
        <w:rPr>
          <w:rFonts w:ascii="Arial" w:hAnsi="Arial" w:cs="Arial"/>
          <w:sz w:val="20"/>
          <w:sz-cs w:val="20"/>
        </w:rPr>
        <w:t xml:space="preserve">Benchmark for single high-profile legal outcome</w:t>
      </w:r>
    </w:p>
    <w:p>
      <w:pPr/>
      <w:r>
        <w:rPr>
          <w:rFonts w:ascii="Arial" w:hAnsi="Arial" w:cs="Arial"/>
          <w:sz w:val="20"/>
          <w:sz-cs w:val="20"/>
        </w:rPr>
        <w:t xml:space="preserve">Elon tweet count (weekly)</w:t>
      </w:r>
    </w:p>
    <w:p>
      <w:pPr/>
      <w:r>
        <w:rPr>
          <w:rFonts w:ascii="Arial" w:hAnsi="Arial" w:cs="Arial"/>
          <w:sz w:val="20"/>
          <w:sz-cs w:val="20"/>
        </w:rPr>
        <w:t xml:space="preserve">$6-8M per window</w:t>
      </w:r>
    </w:p>
    <w:p>
      <w:pPr/>
      <w:r>
        <w:rPr>
          <w:rFonts w:ascii="Arial" w:hAnsi="Arial" w:cs="Arial"/>
          <w:sz w:val="20"/>
          <w:sz-cs w:val="20"/>
        </w:rPr>
        <w:t xml:space="preserve">Benchmark for quantified social media markets</w:t>
      </w:r>
    </w:p>
    <w:p>
      <w:pPr/>
      <w:r>
        <w:rPr>
          <w:rFonts w:ascii="Arial" w:hAnsi="Arial" w:cs="Arial"/>
          <w:sz w:val="20"/>
          <w:sz-cs w:val="20"/>
        </w:rPr>
        <w:t xml:space="preserve">Individual House race</w:t>
      </w:r>
    </w:p>
    <w:p>
      <w:pPr/>
      <w:r>
        <w:rPr>
          <w:rFonts w:ascii="Arial" w:hAnsi="Arial" w:cs="Arial"/>
          <w:sz w:val="20"/>
          <w:sz-cs w:val="20"/>
        </w:rPr>
        <w:t xml:space="preserve">$0-6K</w:t>
      </w:r>
    </w:p>
    <w:p>
      <w:pPr/>
      <w:r>
        <w:rPr>
          <w:rFonts w:ascii="Arial" w:hAnsi="Arial" w:cs="Arial"/>
          <w:sz w:val="20"/>
          <w:sz-cs w:val="20"/>
        </w:rPr>
        <w:t xml:space="preserve">Floor for thin, low-salience political markets</w:t>
      </w:r>
    </w:p>
    <w:p>
      <w:pPr>
        <w:spacing w:after="160"/>
      </w:pPr>
      <w:r>
        <w:rPr>
          <w:rFonts w:ascii="Times" w:hAnsi="Times" w:cs="Times"/>
          <w:sz w:val="24"/>
          <w:sz-cs w:val="24"/>
          <w:b/>
        </w:rPr>
        <w:t xml:space="preserve">Cannibalization qualifier: </w:t>
      </w:r>
      <w:r>
        <w:rPr>
          <w:rFonts w:ascii="Times" w:hAnsi="Times" w:cs="Times"/>
          <w:sz w:val="24"/>
          <w:sz-cs w:val="24"/>
        </w:rPr>
        <w:t xml:space="preserve">Volume estimates should distinguish additive volume (new users or new trading activity) from redistributed volume (existing traders splitting attention across more markets). VP nominee markets are likely additive—they create a new tradeable surface that reinforces engagement with the larger presidential race. A 436th individual House race market is redistributive—it fragments existing midterm liquidity without expanding the overall pie. When estimating volume, note whether the estimate assumes primarily new or redistributed trading activity.</w:t>
      </w:r>
    </w:p>
    <w:p>
      <w:pPr>
        <w:spacing w:after="120"/>
      </w:pPr>
      <w:r>
        <w:rPr>
          <w:rFonts w:ascii="Times" w:hAnsi="Times" w:cs="Times"/>
          <w:sz w:val="24"/>
          <w:sz-cs w:val="24"/>
        </w:rPr>
        <w:t xml:space="preserve"/>
      </w:r>
    </w:p>
    <w:p>
      <w:pPr/>
      <w:r>
        <w:rPr>
          <w:rFonts w:ascii="Times" w:hAnsi="Times" w:cs="Times"/>
          <w:sz w:val="24"/>
          <w:sz-cs w:val="24"/>
        </w:rPr>
        <w:t xml:space="preserve">Dimension 4: Implementation Effort</w:t>
      </w:r>
    </w:p>
    <w:p>
      <w:pPr>
        <w:spacing w:after="160"/>
      </w:pPr>
      <w:r>
        <w:rPr>
          <w:rFonts w:ascii="Times" w:hAnsi="Times" w:cs="Times"/>
          <w:sz w:val="24"/>
          <w:sz-cs w:val="24"/>
          <w:b/>
        </w:rPr>
        <w:t xml:space="preserve">Question: </w:t>
      </w:r>
      <w:r>
        <w:rPr>
          <w:rFonts w:ascii="Times" w:hAnsi="Times" w:cs="Times"/>
          <w:sz w:val="24"/>
          <w:sz-cs w:val="24"/>
        </w:rPr>
        <w:t xml:space="preserve">How much operational work is required to create, monitor, and resolve this market?</w:t>
      </w:r>
    </w:p>
    <w:p>
      <w:pPr>
        <w:spacing w:after="160"/>
      </w:pPr>
      <w:r>
        <w:rPr>
          <w:rFonts w:ascii="Times" w:hAnsi="Times" w:cs="Times"/>
          <w:sz w:val="24"/>
          <w:sz-cs w:val="24"/>
          <w:b/>
        </w:rPr>
        <w:t xml:space="preserve">Scoring guidance:</w:t>
      </w:r>
    </w:p>
    <w:p>
      <w:pPr>
        <w:ind w:left="720" w:first-line="-720"/>
        <w:spacing w:after="80"/>
      </w:pPr>
      <w:r>
        <w:rPr>
          <w:rFonts w:ascii="Times" w:hAnsi="Times" w:cs="Times"/>
          <w:sz w:val="24"/>
          <w:sz-cs w:val="24"/>
          <w:b/>
        </w:rPr>
        <w:t xml:space="preserve"/>
        <w:tab/>
        <w:t xml:space="preserve">•</w:t>
        <w:tab/>
        <w:t xml:space="preserve">Low: </w:t>
      </w:r>
      <w:r>
        <w:rPr>
          <w:rFonts w:ascii="Times" w:hAnsi="Times" w:cs="Times"/>
          <w:sz w:val="24"/>
          <w:sz-cs w:val="24"/>
        </w:rPr>
        <w:t xml:space="preserve">Resolution source is a single authoritative URL (FDA.gov, certified election results, Freddie Mac PMMS). No new infrastructure needed. Market can use existing templates.</w:t>
      </w:r>
    </w:p>
    <w:p>
      <w:pPr>
        <w:ind w:left="720" w:first-line="-720"/>
        <w:spacing w:after="80"/>
      </w:pPr>
      <w:r>
        <w:rPr>
          <w:rFonts w:ascii="Times" w:hAnsi="Times" w:cs="Times"/>
          <w:sz w:val="24"/>
          <w:sz-cs w:val="24"/>
          <w:b/>
        </w:rPr>
        <w:t xml:space="preserve"/>
        <w:tab/>
        <w:t xml:space="preserve">•</w:t>
        <w:tab/>
        <w:t xml:space="preserve">Medium: </w:t>
      </w:r>
      <w:r>
        <w:rPr>
          <w:rFonts w:ascii="Times" w:hAnsi="Times" w:cs="Times"/>
          <w:sz w:val="24"/>
          <w:sz-cs w:val="24"/>
        </w:rPr>
        <w:t xml:space="preserve">Resolution requires monitoring multiple sources, establishing relationships with data providers, or building new tracking infrastructure (e.g., Truth Social post counter analogous to xtracker for Elon tweets).</w:t>
      </w:r>
    </w:p>
    <w:p>
      <w:pPr>
        <w:ind w:left="720" w:first-line="-720"/>
        <w:spacing w:after="80"/>
      </w:pPr>
      <w:r>
        <w:rPr>
          <w:rFonts w:ascii="Times" w:hAnsi="Times" w:cs="Times"/>
          <w:sz w:val="24"/>
          <w:sz-cs w:val="24"/>
          <w:b/>
        </w:rPr>
        <w:t xml:space="preserve"/>
        <w:tab/>
        <w:t xml:space="preserve">•</w:t>
        <w:tab/>
        <w:t xml:space="preserve">Hard: </w:t>
      </w:r>
      <w:r>
        <w:rPr>
          <w:rFonts w:ascii="Times" w:hAnsi="Times" w:cs="Times"/>
          <w:sz w:val="24"/>
          <w:sz-cs w:val="24"/>
        </w:rPr>
        <w:t xml:space="preserve">Resolution requires new partnerships (sports league data-sharing agreements), regulatory pre-clearance, or technically complex infrastructure (real-time in-game resolution, sub-minute price feeds).</w:t>
      </w:r>
    </w:p>
    <w:p>
      <w:pPr>
        <w:spacing w:after="120"/>
      </w:pPr>
      <w:r>
        <w:rPr>
          <w:rFonts w:ascii="Times" w:hAnsi="Times" w:cs="Times"/>
          <w:sz w:val="24"/>
          <w:sz-cs w:val="24"/>
        </w:rPr>
        <w:t xml:space="preserve"/>
      </w:r>
    </w:p>
    <w:p>
      <w:pPr/>
      <w:r>
        <w:rPr>
          <w:rFonts w:ascii="Times" w:hAnsi="Times" w:cs="Times"/>
          <w:sz w:val="24"/>
          <w:sz-cs w:val="24"/>
        </w:rPr>
        <w:t xml:space="preserve">Dimension 5: Resolution Source Quality (New)</w:t>
      </w:r>
    </w:p>
    <w:p>
      <w:pPr>
        <w:spacing w:after="160"/>
      </w:pPr>
      <w:r>
        <w:rPr>
          <w:rFonts w:ascii="Times" w:hAnsi="Times" w:cs="Times"/>
          <w:sz w:val="24"/>
          <w:sz-cs w:val="24"/>
          <w:b/>
        </w:rPr>
        <w:t xml:space="preserve">Question: </w:t>
      </w:r>
      <w:r>
        <w:rPr>
          <w:rFonts w:ascii="Times" w:hAnsi="Times" w:cs="Times"/>
          <w:sz w:val="24"/>
          <w:sz-cs w:val="24"/>
        </w:rPr>
        <w:t xml:space="preserve">How clean, authoritative, and unambiguous is the resolution mechanism?</w:t>
      </w:r>
    </w:p>
    <w:p>
      <w:pPr>
        <w:spacing w:after="160"/>
      </w:pPr>
      <w:r>
        <w:rPr>
          <w:rFonts w:ascii="Times" w:hAnsi="Times" w:cs="Times"/>
          <w:sz w:val="24"/>
          <w:sz-cs w:val="24"/>
        </w:rPr>
        <w:t xml:space="preserve">This dimension was absent from the initial Assessment Matrix and was identified as a gap during second-pass review. Resolution quality is arguably the single most important operational risk factor for a prediction market. The Titan submersible incident on Polymarket—where a dispute erupted over whether debris counted as the submarine being ‘found’—demonstrated how a poorly worded resolution criterion can damage platform credibility regardless of the market’s commercial success.</w:t>
      </w:r>
    </w:p>
    <w:p>
      <w:pPr>
        <w:spacing w:after="160"/>
      </w:pPr>
      <w:r>
        <w:rPr>
          <w:rFonts w:ascii="Times" w:hAnsi="Times" w:cs="Times"/>
          <w:sz w:val="24"/>
          <w:sz-cs w:val="24"/>
          <w:b/>
        </w:rPr>
        <w:t xml:space="preserve">Scoring criteria:</w:t>
      </w:r>
    </w:p>
    <w:p>
      <w:pPr>
        <w:ind w:left="720" w:first-line="-720"/>
        <w:spacing w:after="80"/>
      </w:pPr>
      <w:r>
        <w:rPr>
          <w:rFonts w:ascii="Times" w:hAnsi="Times" w:cs="Times"/>
          <w:sz w:val="24"/>
          <w:sz-cs w:val="24"/>
          <w:b/>
        </w:rPr>
        <w:t xml:space="preserve"/>
        <w:tab/>
        <w:t xml:space="preserve">•</w:t>
        <w:tab/>
        <w:t xml:space="preserve">Authoritative: </w:t>
      </w:r>
      <w:r>
        <w:rPr>
          <w:rFonts w:ascii="Times" w:hAnsi="Times" w:cs="Times"/>
          <w:sz w:val="24"/>
          <w:sz-cs w:val="24"/>
        </w:rPr>
        <w:t xml:space="preserve">Does the resolution source have official, uncontested authority? FDA.gov for drug approvals, certified state election results for political races, and NOAA for weather data are authoritative. A newspaper report, a social media post, or a contested data revision is not.</w:t>
      </w:r>
    </w:p>
    <w:p>
      <w:pPr>
        <w:ind w:left="720" w:first-line="-720"/>
        <w:spacing w:after="80"/>
      </w:pPr>
      <w:r>
        <w:rPr>
          <w:rFonts w:ascii="Times" w:hAnsi="Times" w:cs="Times"/>
          <w:sz w:val="24"/>
          <w:sz-cs w:val="24"/>
          <w:b/>
        </w:rPr>
        <w:t xml:space="preserve"/>
        <w:tab/>
        <w:t xml:space="preserve">•</w:t>
        <w:tab/>
        <w:t xml:space="preserve">Unambiguous: </w:t>
      </w:r>
      <w:r>
        <w:rPr>
          <w:rFonts w:ascii="Times" w:hAnsi="Times" w:cs="Times"/>
          <w:sz w:val="24"/>
          <w:sz-cs w:val="24"/>
        </w:rPr>
        <w:t xml:space="preserve">Does the resolution criterion admit only one interpretation? ‘Will the FDA approve Drug X by [PDUFA date]?’ is unambiguous. ‘Will the economy improve?’ is not. The test: could two reasonable people disagree about whether the resolution criterion has been met?</w:t>
      </w:r>
    </w:p>
    <w:p>
      <w:pPr>
        <w:ind w:left="720" w:first-line="-720"/>
        <w:spacing w:after="80"/>
      </w:pPr>
      <w:r>
        <w:rPr>
          <w:rFonts w:ascii="Times" w:hAnsi="Times" w:cs="Times"/>
          <w:sz w:val="24"/>
          <w:sz-cs w:val="24"/>
          <w:b/>
        </w:rPr>
        <w:t xml:space="preserve"/>
        <w:tab/>
        <w:t xml:space="preserve">•</w:t>
        <w:tab/>
        <w:t xml:space="preserve">Timely: </w:t>
      </w:r>
      <w:r>
        <w:rPr>
          <w:rFonts w:ascii="Times" w:hAnsi="Times" w:cs="Times"/>
          <w:sz w:val="24"/>
          <w:sz-cs w:val="24"/>
        </w:rPr>
        <w:t xml:space="preserve">Is the resolution data available within a reasonable window after the event? Election results are available on election night. GDP data is revised multiple times over months—which revision counts?</w:t>
      </w:r>
    </w:p>
    <w:p>
      <w:pPr>
        <w:ind w:left="720" w:first-line="-720"/>
        <w:spacing w:after="80"/>
      </w:pPr>
      <w:r>
        <w:rPr>
          <w:rFonts w:ascii="Times" w:hAnsi="Times" w:cs="Times"/>
          <w:sz w:val="24"/>
          <w:sz-cs w:val="24"/>
          <w:b/>
        </w:rPr>
        <w:t xml:space="preserve"/>
        <w:tab/>
        <w:t xml:space="preserve">•</w:t>
        <w:tab/>
        <w:t xml:space="preserve">Revision-resistant: </w:t>
      </w:r>
      <w:r>
        <w:rPr>
          <w:rFonts w:ascii="Times" w:hAnsi="Times" w:cs="Times"/>
          <w:sz w:val="24"/>
          <w:sz-cs w:val="24"/>
        </w:rPr>
        <w:t xml:space="preserve">Is the data subject to meaningful retroactive revision? Initial jobs reports are routinely revised by 50-100K. CPI and GDP undergo multiple revisions. Markets that resolve on initial releases should specify this clearly; markets that wait for final data face extended uncertainty.</w:t>
      </w:r>
    </w:p>
    <w:p>
      <w:pPr>
        <w:spacing w:after="160"/>
      </w:pPr>
      <w:r>
        <w:rPr>
          <w:rFonts w:ascii="Times" w:hAnsi="Times" w:cs="Times"/>
          <w:sz w:val="24"/>
          <w:sz-cs w:val="24"/>
          <w:b/>
        </w:rPr>
        <w:t xml:space="preserve">Example application: </w:t>
      </w:r>
      <w:r>
        <w:rPr>
          <w:rFonts w:ascii="Times" w:hAnsi="Times" w:cs="Times"/>
          <w:sz w:val="24"/>
          <w:sz-cs w:val="24"/>
        </w:rPr>
        <w:t xml:space="preserve">An FDA PDUFA market scores maximally on resolution quality: the FDA posts approval letters on FDA.gov on the decision date, the outcome is binary (approved / rejected / CRL), there is no revision process, and the data is available within hours. A ‘consumer confidence’ market scores lower: the University of Michigan releases preliminary and final readings that differ, the data is subject to seasonal adjustment methodology changes, and the resolution criterion must specify which release matters.</w:t>
      </w:r>
    </w:p>
    <w:p>
      <w:pPr>
        <w:spacing w:after="120"/>
      </w:pPr>
      <w:r>
        <w:rPr>
          <w:rFonts w:ascii="Times" w:hAnsi="Times" w:cs="Times"/>
          <w:sz w:val="24"/>
          <w:sz-cs w:val="24"/>
        </w:rPr>
        <w:t xml:space="preserve"/>
      </w:r>
    </w:p>
    <w:p>
      <w:pPr/>
      <w:r>
        <w:rPr>
          <w:rFonts w:ascii="Times" w:hAnsi="Times" w:cs="Times"/>
          <w:sz w:val="24"/>
          <w:sz-cs w:val="24"/>
        </w:rPr>
        <w:t xml:space="preserve">Dimension 6: Audience Expansion Potential (New)</w:t>
      </w:r>
    </w:p>
    <w:p>
      <w:pPr>
        <w:spacing w:after="160"/>
      </w:pPr>
      <w:r>
        <w:rPr>
          <w:rFonts w:ascii="Times" w:hAnsi="Times" w:cs="Times"/>
          <w:sz w:val="24"/>
          <w:sz-cs w:val="24"/>
          <w:b/>
        </w:rPr>
        <w:t xml:space="preserve">Question: </w:t>
      </w:r>
      <w:r>
        <w:rPr>
          <w:rFonts w:ascii="Times" w:hAnsi="Times" w:cs="Times"/>
          <w:sz w:val="24"/>
          <w:sz-cs w:val="24"/>
        </w:rPr>
        <w:t xml:space="preserve">Does this market primarily attract existing Polymarket users or genuinely new user segments?</w:t>
      </w:r>
    </w:p>
    <w:p>
      <w:pPr>
        <w:spacing w:after="160"/>
      </w:pPr>
      <w:r>
        <w:rPr>
          <w:rFonts w:ascii="Times" w:hAnsi="Times" w:cs="Times"/>
          <w:sz w:val="24"/>
          <w:sz-cs w:val="24"/>
        </w:rPr>
        <w:t xml:space="preserve">This dimension was also absent from the initial Assessment Matrix. It matters because new-user markets have compounding value: users acquired through one market category discover and trade in others, creating a cross-pollination effect that multiplies the return on market creation investment.</w:t>
      </w:r>
    </w:p>
    <w:p>
      <w:pPr>
        <w:spacing w:after="160"/>
      </w:pPr>
      <w:r>
        <w:rPr>
          <w:rFonts w:ascii="Times" w:hAnsi="Times" w:cs="Times"/>
          <w:sz w:val="24"/>
          <w:sz-cs w:val="24"/>
          <w:b/>
        </w:rPr>
        <w:t xml:space="preserve">Scoring guidance:</w:t>
      </w:r>
    </w:p>
    <w:p>
      <w:pPr>
        <w:ind w:left="720" w:first-line="-720"/>
        <w:spacing w:after="80"/>
      </w:pPr>
      <w:r>
        <w:rPr>
          <w:rFonts w:ascii="Times" w:hAnsi="Times" w:cs="Times"/>
          <w:sz w:val="24"/>
          <w:sz-cs w:val="24"/>
          <w:b/>
        </w:rPr>
        <w:t xml:space="preserve"/>
        <w:tab/>
        <w:t xml:space="preserve">•</w:t>
        <w:tab/>
        <w:t xml:space="preserve">Low expansion: </w:t>
      </w:r>
      <w:r>
        <w:rPr>
          <w:rFonts w:ascii="Times" w:hAnsi="Times" w:cs="Times"/>
          <w:sz w:val="24"/>
          <w:sz-cs w:val="24"/>
        </w:rPr>
        <w:t xml:space="preserve">The market primarily attracts existing Polymarket demographics (crypto-native traders, political junkies, sports bettors). Adding another altcoin price market or another NFL game falls here.</w:t>
      </w:r>
    </w:p>
    <w:p>
      <w:pPr>
        <w:ind w:left="720" w:first-line="-720"/>
        <w:spacing w:after="80"/>
      </w:pPr>
      <w:r>
        <w:rPr>
          <w:rFonts w:ascii="Times" w:hAnsi="Times" w:cs="Times"/>
          <w:sz w:val="24"/>
          <w:sz-cs w:val="24"/>
          <w:b/>
        </w:rPr>
        <w:t xml:space="preserve"/>
        <w:tab/>
        <w:t xml:space="preserve">•</w:t>
        <w:tab/>
        <w:t xml:space="preserve">Medium expansion: </w:t>
      </w:r>
      <w:r>
        <w:rPr>
          <w:rFonts w:ascii="Times" w:hAnsi="Times" w:cs="Times"/>
          <w:sz w:val="24"/>
          <w:sz-cs w:val="24"/>
        </w:rPr>
        <w:t xml:space="preserve">The market attracts an adjacent audience that partially overlaps with existing users. SCOTUS ruling markets attract politically engaged lawyers; some are already on Polymarket, some are not.</w:t>
      </w:r>
    </w:p>
    <w:p>
      <w:pPr>
        <w:ind w:left="720" w:first-line="-720"/>
        <w:spacing w:after="80"/>
      </w:pPr>
      <w:r>
        <w:rPr>
          <w:rFonts w:ascii="Times" w:hAnsi="Times" w:cs="Times"/>
          <w:sz w:val="24"/>
          <w:sz-cs w:val="24"/>
          <w:b/>
        </w:rPr>
        <w:t xml:space="preserve"/>
        <w:tab/>
        <w:t xml:space="preserve">•</w:t>
        <w:tab/>
        <w:t xml:space="preserve">High expansion: </w:t>
      </w:r>
      <w:r>
        <w:rPr>
          <w:rFonts w:ascii="Times" w:hAnsi="Times" w:cs="Times"/>
          <w:sz w:val="24"/>
          <w:sz-cs w:val="24"/>
        </w:rPr>
        <w:t xml:space="preserve">The market attracts a genuinely new user segment with little existing overlap. Health &amp; Biotech markets would bring in biotech traders and pharma investors who have no current reason to use Polymarket. Real estate markets aimed at homebuyers and mortgage shoppers would reach a mainstream audience far outside the platform’s crypto-native base.</w:t>
      </w:r>
    </w:p>
    <w:p>
      <w:pPr/>
      <w:r>
        <w:rPr>
          <w:rFonts w:ascii="Times" w:hAnsi="Times" w:cs="Times"/>
          <w:sz w:val="24"/>
          <w:sz-cs w:val="24"/>
        </w:rPr>
        <w:t xml:space="preserve">4.3 Scoring Template</w:t>
      </w:r>
    </w:p>
    <w:p>
      <w:pPr>
        <w:spacing w:after="160"/>
      </w:pPr>
      <w:r>
        <w:rPr>
          <w:rFonts w:ascii="Times" w:hAnsi="Times" w:cs="Times"/>
          <w:sz w:val="24"/>
          <w:sz-cs w:val="24"/>
        </w:rPr>
        <w:t xml:space="preserve">The following template can be applied to any proposed market. A market should generally score Low or Medium regulatory risk, Medium or High WoC value, and High resolution quality to proceed. Markets that score High on regulatory risk should only proceed if volume potential is substantial and the regulatory trajectory is improving.</w:t>
      </w:r>
    </w:p>
    <w:p>
      <w:pPr/>
      <w:r>
        <w:rPr>
          <w:rFonts w:ascii="Arial" w:hAnsi="Arial" w:cs="Arial"/>
          <w:sz w:val="20"/>
          <w:sz-cs w:val="20"/>
          <w:b/>
        </w:rPr>
        <w:t xml:space="preserve">Dimension</w:t>
      </w:r>
    </w:p>
    <w:p>
      <w:pPr/>
      <w:r>
        <w:rPr>
          <w:rFonts w:ascii="Arial" w:hAnsi="Arial" w:cs="Arial"/>
          <w:sz w:val="20"/>
          <w:sz-cs w:val="20"/>
          <w:b/>
        </w:rPr>
        <w:t xml:space="preserve">Score (L/M/H)</w:t>
      </w:r>
    </w:p>
    <w:p>
      <w:pPr/>
      <w:r>
        <w:rPr>
          <w:rFonts w:ascii="Arial" w:hAnsi="Arial" w:cs="Arial"/>
          <w:sz w:val="20"/>
          <w:sz-cs w:val="20"/>
          <w:b/>
        </w:rPr>
        <w:t xml:space="preserve">Notes</w:t>
      </w:r>
    </w:p>
    <w:p>
      <w:pPr/>
      <w:r>
        <w:rPr>
          <w:rFonts w:ascii="Arial" w:hAnsi="Arial" w:cs="Arial"/>
          <w:sz w:val="20"/>
          <w:sz-cs w:val="20"/>
        </w:rPr>
        <w:t xml:space="preserve">Regulatory risk</w:t>
      </w:r>
    </w:p>
    <w:p>
      <w:pPr/>
      <w:r>
        <w:rPr>
          <w:rFonts w:ascii="Arial" w:hAnsi="Arial" w:cs="Arial"/>
          <w:sz w:val="20"/>
          <w:sz-cs w:val="20"/>
        </w:rPr>
        <w:t xml:space="preserve"/>
      </w:r>
    </w:p>
    <w:p>
      <w:pPr/>
      <w:r>
        <w:rPr>
          <w:rFonts w:ascii="Arial" w:hAnsi="Arial" w:cs="Arial"/>
          <w:sz w:val="20"/>
          <w:sz-cs w:val="20"/>
        </w:rPr>
        <w:t xml:space="preserve">Cite specific applicable regulations</w:t>
      </w:r>
    </w:p>
    <w:p>
      <w:pPr/>
      <w:r>
        <w:rPr>
          <w:rFonts w:ascii="Arial" w:hAnsi="Arial" w:cs="Arial"/>
          <w:sz w:val="20"/>
          <w:sz-cs w:val="20"/>
        </w:rPr>
        <w:t xml:space="preserve">Wisdom-of-crowds value</w:t>
      </w:r>
    </w:p>
    <w:p>
      <w:pPr/>
      <w:r>
        <w:rPr>
          <w:rFonts w:ascii="Arial" w:hAnsi="Arial" w:cs="Arial"/>
          <w:sz w:val="20"/>
          <w:sz-cs w:val="20"/>
        </w:rPr>
        <w:t xml:space="preserve"/>
      </w:r>
    </w:p>
    <w:p>
      <w:pPr/>
      <w:r>
        <w:rPr>
          <w:rFonts w:ascii="Arial" w:hAnsi="Arial" w:cs="Arial"/>
          <w:sz w:val="20"/>
          <w:sz-cs w:val="20"/>
        </w:rPr>
        <w:t xml:space="preserve">Assess all 4 criteria (dispersion, uncertainty, actionability, alternatives)</w:t>
      </w:r>
    </w:p>
    <w:p>
      <w:pPr/>
      <w:r>
        <w:rPr>
          <w:rFonts w:ascii="Arial" w:hAnsi="Arial" w:cs="Arial"/>
          <w:sz w:val="20"/>
          <w:sz-cs w:val="20"/>
        </w:rPr>
        <w:t xml:space="preserve">Estimated volume</w:t>
      </w:r>
    </w:p>
    <w:p>
      <w:pPr/>
      <w:r>
        <w:rPr>
          <w:rFonts w:ascii="Arial" w:hAnsi="Arial" w:cs="Arial"/>
          <w:sz w:val="20"/>
          <w:sz-cs w:val="20"/>
        </w:rPr>
        <w:t xml:space="preserve"/>
      </w:r>
    </w:p>
    <w:p>
      <w:pPr/>
      <w:r>
        <w:rPr>
          <w:rFonts w:ascii="Arial" w:hAnsi="Arial" w:cs="Arial"/>
          <w:sz w:val="20"/>
          <w:sz-cs w:val="20"/>
        </w:rPr>
        <w:t xml:space="preserve">Cite reference market and cannibalization qualifier</w:t>
      </w:r>
    </w:p>
    <w:p>
      <w:pPr/>
      <w:r>
        <w:rPr>
          <w:rFonts w:ascii="Arial" w:hAnsi="Arial" w:cs="Arial"/>
          <w:sz w:val="20"/>
          <w:sz-cs w:val="20"/>
        </w:rPr>
        <w:t xml:space="preserve">Implementation effort</w:t>
      </w:r>
    </w:p>
    <w:p>
      <w:pPr/>
      <w:r>
        <w:rPr>
          <w:rFonts w:ascii="Arial" w:hAnsi="Arial" w:cs="Arial"/>
          <w:sz w:val="20"/>
          <w:sz-cs w:val="20"/>
        </w:rPr>
        <w:t xml:space="preserve"/>
      </w:r>
    </w:p>
    <w:p>
      <w:pPr/>
      <w:r>
        <w:rPr>
          <w:rFonts w:ascii="Arial" w:hAnsi="Arial" w:cs="Arial"/>
          <w:sz w:val="20"/>
          <w:sz-cs w:val="20"/>
        </w:rPr>
        <w:t xml:space="preserve">Identify resolution source and infrastructure needs</w:t>
      </w:r>
    </w:p>
    <w:p>
      <w:pPr/>
      <w:r>
        <w:rPr>
          <w:rFonts w:ascii="Arial" w:hAnsi="Arial" w:cs="Arial"/>
          <w:sz w:val="20"/>
          <w:sz-cs w:val="20"/>
        </w:rPr>
        <w:t xml:space="preserve">Resolution source quality</w:t>
      </w:r>
    </w:p>
    <w:p>
      <w:pPr/>
      <w:r>
        <w:rPr>
          <w:rFonts w:ascii="Arial" w:hAnsi="Arial" w:cs="Arial"/>
          <w:sz w:val="20"/>
          <w:sz-cs w:val="20"/>
        </w:rPr>
        <w:t xml:space="preserve"/>
      </w:r>
    </w:p>
    <w:p>
      <w:pPr/>
      <w:r>
        <w:rPr>
          <w:rFonts w:ascii="Arial" w:hAnsi="Arial" w:cs="Arial"/>
          <w:sz w:val="20"/>
          <w:sz-cs w:val="20"/>
        </w:rPr>
        <w:t xml:space="preserve">Assess authority, ambiguity, timeliness, revision risk</w:t>
      </w:r>
    </w:p>
    <w:p>
      <w:pPr/>
      <w:r>
        <w:rPr>
          <w:rFonts w:ascii="Arial" w:hAnsi="Arial" w:cs="Arial"/>
          <w:sz w:val="20"/>
          <w:sz-cs w:val="20"/>
        </w:rPr>
        <w:t xml:space="preserve">Audience expansion</w:t>
      </w:r>
    </w:p>
    <w:p>
      <w:pPr/>
      <w:r>
        <w:rPr>
          <w:rFonts w:ascii="Arial" w:hAnsi="Arial" w:cs="Arial"/>
          <w:sz w:val="20"/>
          <w:sz-cs w:val="20"/>
        </w:rPr>
        <w:t xml:space="preserve"/>
      </w:r>
    </w:p>
    <w:p>
      <w:pPr/>
      <w:r>
        <w:rPr>
          <w:rFonts w:ascii="Arial" w:hAnsi="Arial" w:cs="Arial"/>
          <w:sz w:val="20"/>
          <w:sz-cs w:val="20"/>
        </w:rPr>
        <w:t xml:space="preserve">New users, adjacent users, or existing users?</w:t>
      </w:r>
    </w:p>
    <w:p>
      <w:pPr/>
      <w:r>
        <w:rPr>
          <w:rFonts w:ascii="Times" w:hAnsi="Times" w:cs="Times"/>
          <w:sz w:val="24"/>
          <w:sz-cs w:val="24"/>
        </w:rPr>
        <w:t xml:space="preserve">4.4 The Concentrate-or-Expand Decision</w:t>
      </w:r>
    </w:p>
    <w:p>
      <w:pPr>
        <w:spacing w:after="160"/>
      </w:pPr>
      <w:r>
        <w:rPr>
          <w:rFonts w:ascii="Times" w:hAnsi="Times" w:cs="Times"/>
          <w:sz w:val="24"/>
          <w:sz-cs w:val="24"/>
        </w:rPr>
        <w:t xml:space="preserve">Before creating a new market, the rubric should include one additional check: would the platform be better served by creating a new market, or by redesigning an existing one?</w:t>
      </w:r>
    </w:p>
    <w:p>
      <w:pPr>
        <w:spacing w:after="160"/>
      </w:pPr>
      <w:r>
        <w:rPr>
          <w:rFonts w:ascii="Times" w:hAnsi="Times" w:cs="Times"/>
          <w:sz w:val="24"/>
          <w:sz-cs w:val="24"/>
        </w:rPr>
        <w:t xml:space="preserve">The midterm elections provide the clearest example. Polymarket has 435 individual House race markets, each generating $0-6K. The problem is not that these markets are bad ideas; it is that the format—one market per race—fragments liquidity below the threshold where meaningful price discovery occurs. The solution is not 436 markets; it is a single ‘net seats gained or lost’ market that concentrates attention where media and campaigns already focus.</w:t>
      </w:r>
    </w:p>
    <w:p>
      <w:pPr>
        <w:spacing w:after="160"/>
      </w:pPr>
      <w:r>
        <w:rPr>
          <w:rFonts w:ascii="Times" w:hAnsi="Times" w:cs="Times"/>
          <w:sz w:val="24"/>
          <w:sz-cs w:val="24"/>
          <w:b/>
        </w:rPr>
        <w:t xml:space="preserve">Decision rule: </w:t>
      </w:r>
      <w:r>
        <w:rPr>
          <w:rFonts w:ascii="Times" w:hAnsi="Times" w:cs="Times"/>
          <w:sz w:val="24"/>
          <w:sz-cs w:val="24"/>
        </w:rPr>
        <w:t xml:space="preserve">If the proposed market addresses the same question as 5+ existing thin markets (&lt;$10K volume each), evaluate whether a single aggregated market would generate more total volume and more useful information than adding another thin market to the set. If yes, create the aggregate and consider consolidating the thin markets.</w:t>
      </w:r>
    </w:p>
    <w:p>
      <w:pPr/>
      <w:r>
        <w:rPr>
          <w:rFonts w:ascii="Times" w:hAnsi="Times" w:cs="Times"/>
          <w:sz w:val="24"/>
          <w:sz-cs w:val="24"/>
        </w:rPr>
        <w:t xml:space="preserve"/>
        <w:br w:type="page"/>
        <w:t xml:space="preserve"/>
      </w:r>
    </w:p>
    <w:p>
      <w:pPr/>
      <w:r>
        <w:rPr>
          <w:rFonts w:ascii="Times" w:hAnsi="Times" w:cs="Times"/>
          <w:sz w:val="24"/>
          <w:sz-cs w:val="24"/>
        </w:rPr>
        <w:t xml:space="preserve">5. Component 3: Signal Detection Layer</w:t>
      </w:r>
    </w:p>
    <w:p>
      <w:pPr/>
      <w:r>
        <w:rPr>
          <w:rFonts w:ascii="Times" w:hAnsi="Times" w:cs="Times"/>
          <w:sz w:val="24"/>
          <w:sz-cs w:val="24"/>
        </w:rPr>
        <w:t xml:space="preserve">5.1 Purpose</w:t>
      </w:r>
    </w:p>
    <w:p>
      <w:pPr>
        <w:spacing w:after="160"/>
      </w:pPr>
      <w:r>
        <w:rPr>
          <w:rFonts w:ascii="Times" w:hAnsi="Times" w:cs="Times"/>
          <w:sz w:val="24"/>
          <w:sz-cs w:val="24"/>
        </w:rPr>
        <w:t xml:space="preserve">The Signal Detection Layer is the monitoring component that surfaces expansion opportunities that are not on the Coverage Calendar—either because they are event-driven (breaking news), demand-driven (user behavior indicating unmet need), or competitor-driven (other platforms listing markets Polymarket doesn’t carry). This is the ‘eyes and ears’ component, but structured around specific signal types rather than generic media monitoring.</w:t>
      </w:r>
    </w:p>
    <w:p>
      <w:pPr>
        <w:spacing w:after="160"/>
      </w:pPr>
      <w:r>
        <w:rPr>
          <w:rFonts w:ascii="Times" w:hAnsi="Times" w:cs="Times"/>
          <w:sz w:val="24"/>
          <w:sz-cs w:val="24"/>
        </w:rPr>
        <w:t xml:space="preserve">An important design principle: signal detection should be optimized for specificity, not sensitivity. The goal is not to detect every possible topic that people are talking about; it is to detect topics that (a) involve a binary outcome, (b) feature genuine uncertainty, (c) will sustain interest for long enough to build liquidity, and (d) have a clean resolution source. Generic social media monitoring fails this specificity test—millions of topics trend daily, and the vast majority would make terrible prediction markets.</w:t>
      </w:r>
    </w:p>
    <w:p>
      <w:pPr/>
      <w:r>
        <w:rPr>
          <w:rFonts w:ascii="Times" w:hAnsi="Times" w:cs="Times"/>
          <w:sz w:val="24"/>
          <w:sz-cs w:val="24"/>
        </w:rPr>
        <w:t xml:space="preserve">5.2 Signal Category 1: Internal Platform Signals</w:t>
      </w:r>
    </w:p>
    <w:p>
      <w:pPr>
        <w:spacing w:after="160"/>
      </w:pPr>
      <w:r>
        <w:rPr>
          <w:rFonts w:ascii="Times" w:hAnsi="Times" w:cs="Times"/>
          <w:sz w:val="24"/>
          <w:sz-cs w:val="24"/>
          <w:b/>
        </w:rPr>
        <w:t xml:space="preserve">Source: </w:t>
      </w:r>
      <w:r>
        <w:rPr>
          <w:rFonts w:ascii="Times" w:hAnsi="Times" w:cs="Times"/>
          <w:sz w:val="24"/>
          <w:sz-cs w:val="24"/>
        </w:rPr>
        <w:t xml:space="preserve">Polymarket’s own search queries, page view analytics, user-submitted market requests, and deposit/withdrawal patterns.</w:t>
      </w:r>
    </w:p>
    <w:p>
      <w:pPr>
        <w:spacing w:after="160"/>
      </w:pPr>
      <w:r>
        <w:rPr>
          <w:rFonts w:ascii="Times" w:hAnsi="Times" w:cs="Times"/>
          <w:sz w:val="24"/>
          <w:sz-cs w:val="24"/>
          <w:b/>
        </w:rPr>
        <w:t xml:space="preserve">Why this matters: </w:t>
      </w:r>
      <w:r>
        <w:rPr>
          <w:rFonts w:ascii="Times" w:hAnsi="Times" w:cs="Times"/>
          <w:sz w:val="24"/>
          <w:sz-cs w:val="24"/>
        </w:rPr>
        <w:t xml:space="preserve">Internal platform data is the highest-signal, lowest-noise source available because it reflects revealed demand from existing users. A surge in searches for ‘hurricane’ in June signals that users are looking for hurricane markets and not finding them (or not finding the specific format they want). A market with high page views but low trading volume suggests that users are interested but the market design isn’t meeting their needs.</w:t>
      </w:r>
    </w:p>
    <w:p>
      <w:pPr>
        <w:spacing w:after="160"/>
      </w:pPr>
      <w:r>
        <w:rPr>
          <w:rFonts w:ascii="Times" w:hAnsi="Times" w:cs="Times"/>
          <w:sz w:val="24"/>
          <w:sz-cs w:val="24"/>
          <w:b/>
        </w:rPr>
        <w:t xml:space="preserve">Specific signals to monitor:</w:t>
      </w:r>
    </w:p>
    <w:p>
      <w:pPr>
        <w:ind w:left="720" w:first-line="-720"/>
        <w:spacing w:after="80"/>
      </w:pPr>
      <w:r>
        <w:rPr>
          <w:rFonts w:ascii="Times" w:hAnsi="Times" w:cs="Times"/>
          <w:sz w:val="24"/>
          <w:sz-cs w:val="24"/>
          <w:b/>
        </w:rPr>
        <w:t xml:space="preserve"/>
        <w:tab/>
        <w:t xml:space="preserve">•</w:t>
        <w:tab/>
        <w:t xml:space="preserve">Search queries without matching markets. </w:t>
      </w:r>
      <w:r>
        <w:rPr>
          <w:rFonts w:ascii="Times" w:hAnsi="Times" w:cs="Times"/>
          <w:sz w:val="24"/>
          <w:sz-cs w:val="24"/>
        </w:rPr>
        <w:t xml:space="preserve">If 500 users search for ‘bird flu’ in a week and there is no H5N1 market, that is a direct demand signal.</w:t>
      </w:r>
    </w:p>
    <w:p>
      <w:pPr>
        <w:ind w:left="720" w:first-line="-720"/>
        <w:spacing w:after="80"/>
      </w:pPr>
      <w:r>
        <w:rPr>
          <w:rFonts w:ascii="Times" w:hAnsi="Times" w:cs="Times"/>
          <w:sz w:val="24"/>
          <w:sz-cs w:val="24"/>
          <w:b/>
        </w:rPr>
        <w:t xml:space="preserve"/>
        <w:tab/>
        <w:t xml:space="preserve">•</w:t>
        <w:tab/>
        <w:t xml:space="preserve">Page view to volume ratio. </w:t>
      </w:r>
      <w:r>
        <w:rPr>
          <w:rFonts w:ascii="Times" w:hAnsi="Times" w:cs="Times"/>
          <w:sz w:val="24"/>
          <w:sz-cs w:val="24"/>
        </w:rPr>
        <w:t xml:space="preserve">A market with 10,000 page views and $500 in volume is attracting curiosity but not trading. This may indicate a design problem (unclear resolution, bad bracket sizing, insufficient liquidity seeding) rather than a demand problem.</w:t>
      </w:r>
    </w:p>
    <w:p>
      <w:pPr>
        <w:ind w:left="720" w:first-line="-720"/>
        <w:spacing w:after="80"/>
      </w:pPr>
      <w:r>
        <w:rPr>
          <w:rFonts w:ascii="Times" w:hAnsi="Times" w:cs="Times"/>
          <w:sz w:val="24"/>
          <w:sz-cs w:val="24"/>
          <w:b/>
        </w:rPr>
        <w:t xml:space="preserve"/>
        <w:tab/>
        <w:t xml:space="preserve">•</w:t>
        <w:tab/>
        <w:t xml:space="preserve">User-submitted market requests. </w:t>
      </w:r>
      <w:r>
        <w:rPr>
          <w:rFonts w:ascii="Times" w:hAnsi="Times" w:cs="Times"/>
          <w:sz w:val="24"/>
          <w:sz-cs w:val="24"/>
        </w:rPr>
        <w:t xml:space="preserve">Polymarket allows users to propose markets. Aggregate these requests by theme to identify sustained demand patterns rather than reacting to individual requests.</w:t>
      </w:r>
    </w:p>
    <w:p>
      <w:pPr>
        <w:ind w:left="720" w:first-line="-720"/>
        <w:spacing w:after="80"/>
      </w:pPr>
      <w:r>
        <w:rPr>
          <w:rFonts w:ascii="Times" w:hAnsi="Times" w:cs="Times"/>
          <w:sz w:val="24"/>
          <w:sz-cs w:val="24"/>
          <w:b/>
        </w:rPr>
        <w:t xml:space="preserve"/>
        <w:tab/>
        <w:t xml:space="preserve">•</w:t>
        <w:tab/>
        <w:t xml:space="preserve">Deposit patterns by category. </w:t>
      </w:r>
      <w:r>
        <w:rPr>
          <w:rFonts w:ascii="Times" w:hAnsi="Times" w:cs="Times"/>
          <w:sz w:val="24"/>
          <w:sz-cs w:val="24"/>
        </w:rPr>
        <w:t xml:space="preserve">Are new wallet deposits concentrated in users who primarily trade politics? Sports? Crypto? Shifts in deposit demographics signal changing platform composition and may indicate underserved segments.</w:t>
      </w:r>
    </w:p>
    <w:p>
      <w:pPr/>
      <w:r>
        <w:rPr>
          <w:rFonts w:ascii="Times" w:hAnsi="Times" w:cs="Times"/>
          <w:sz w:val="24"/>
          <w:sz-cs w:val="24"/>
        </w:rPr>
        <w:t xml:space="preserve">5.3 Signal Category 2: Financial Market Signals</w:t>
      </w:r>
    </w:p>
    <w:p>
      <w:pPr>
        <w:spacing w:after="160"/>
      </w:pPr>
      <w:r>
        <w:rPr>
          <w:rFonts w:ascii="Times" w:hAnsi="Times" w:cs="Times"/>
          <w:sz w:val="24"/>
          <w:sz-cs w:val="24"/>
          <w:b/>
        </w:rPr>
        <w:t xml:space="preserve">Source: </w:t>
      </w:r>
      <w:r>
        <w:rPr>
          <w:rFonts w:ascii="Times" w:hAnsi="Times" w:cs="Times"/>
          <w:sz w:val="24"/>
          <w:sz-cs w:val="24"/>
        </w:rPr>
        <w:t xml:space="preserve">Options markets, futures curves, volatility indices (VIX, MOVE), credit default swap spreads, and sector ETF flows.</w:t>
      </w:r>
    </w:p>
    <w:p>
      <w:pPr>
        <w:spacing w:after="160"/>
      </w:pPr>
      <w:r>
        <w:rPr>
          <w:rFonts w:ascii="Times" w:hAnsi="Times" w:cs="Times"/>
          <w:sz w:val="24"/>
          <w:sz-cs w:val="24"/>
          <w:b/>
        </w:rPr>
        <w:t xml:space="preserve">Why this matters: </w:t>
      </w:r>
      <w:r>
        <w:rPr>
          <w:rFonts w:ascii="Times" w:hAnsi="Times" w:cs="Times"/>
          <w:sz w:val="24"/>
          <w:sz-cs w:val="24"/>
        </w:rPr>
        <w:t xml:space="preserve">Unusual activity in traditional financial markets often indicates uncertain binary outcomes that prediction markets can address. A spike in biotech stock options activity around a PDUFA date signals that traders are positioning for a binary catalyst—if no Polymarket market exists for that PDUFA date, there is a clear opportunity.</w:t>
      </w:r>
    </w:p>
    <w:p>
      <w:pPr>
        <w:spacing w:after="160"/>
      </w:pPr>
      <w:r>
        <w:rPr>
          <w:rFonts w:ascii="Times" w:hAnsi="Times" w:cs="Times"/>
          <w:sz w:val="24"/>
          <w:sz-cs w:val="24"/>
          <w:b/>
        </w:rPr>
        <w:t xml:space="preserve">Specific signals to monitor:</w:t>
      </w:r>
    </w:p>
    <w:p>
      <w:pPr>
        <w:ind w:left="720" w:first-line="-720"/>
        <w:spacing w:after="80"/>
      </w:pPr>
      <w:r>
        <w:rPr>
          <w:rFonts w:ascii="Times" w:hAnsi="Times" w:cs="Times"/>
          <w:sz w:val="24"/>
          <w:sz-cs w:val="24"/>
          <w:b/>
        </w:rPr>
        <w:t xml:space="preserve"/>
        <w:tab/>
        <w:t xml:space="preserve">•</w:t>
        <w:tab/>
        <w:t xml:space="preserve">Options implied volatility spikes. </w:t>
      </w:r>
      <w:r>
        <w:rPr>
          <w:rFonts w:ascii="Times" w:hAnsi="Times" w:cs="Times"/>
          <w:sz w:val="24"/>
          <w:sz-cs w:val="24"/>
        </w:rPr>
        <w:t xml:space="preserve">A biotech company’s implied volatility spiking to 200%+ ahead of a PDUFA date confirms that the market views the outcome as genuinely uncertain—ideal for a prediction market.</w:t>
      </w:r>
    </w:p>
    <w:p>
      <w:pPr>
        <w:ind w:left="720" w:first-line="-720"/>
        <w:spacing w:after="80"/>
      </w:pPr>
      <w:r>
        <w:rPr>
          <w:rFonts w:ascii="Times" w:hAnsi="Times" w:cs="Times"/>
          <w:sz w:val="24"/>
          <w:sz-cs w:val="24"/>
          <w:b/>
        </w:rPr>
        <w:t xml:space="preserve"/>
        <w:tab/>
        <w:t xml:space="preserve">•</w:t>
        <w:tab/>
        <w:t xml:space="preserve">VIX/MOVE index spikes. </w:t>
      </w:r>
      <w:r>
        <w:rPr>
          <w:rFonts w:ascii="Times" w:hAnsi="Times" w:cs="Times"/>
          <w:sz w:val="24"/>
          <w:sz-cs w:val="24"/>
        </w:rPr>
        <w:t xml:space="preserve">Broad volatility spikes often correlate with geopolitical or policy uncertainty where prediction markets can isolate specific binary outcomes (e.g., ‘Will the Fed cut rates at the emergency meeting?’ during a market crash).</w:t>
      </w:r>
    </w:p>
    <w:p>
      <w:pPr>
        <w:ind w:left="720" w:first-line="-720"/>
        <w:spacing w:after="80"/>
      </w:pPr>
      <w:r>
        <w:rPr>
          <w:rFonts w:ascii="Times" w:hAnsi="Times" w:cs="Times"/>
          <w:sz w:val="24"/>
          <w:sz-cs w:val="24"/>
          <w:b/>
        </w:rPr>
        <w:t xml:space="preserve"/>
        <w:tab/>
        <w:t xml:space="preserve">•</w:t>
        <w:tab/>
        <w:t xml:space="preserve">CDS spread movements. </w:t>
      </w:r>
      <w:r>
        <w:rPr>
          <w:rFonts w:ascii="Times" w:hAnsi="Times" w:cs="Times"/>
          <w:sz w:val="24"/>
          <w:sz-cs w:val="24"/>
        </w:rPr>
        <w:t xml:space="preserve">Sovereign CDS spreads widening for a specific country can signal political instability or default risk—both fertile ground for prediction markets.</w:t>
      </w:r>
    </w:p>
    <w:p>
      <w:pPr/>
      <w:r>
        <w:rPr>
          <w:rFonts w:ascii="Times" w:hAnsi="Times" w:cs="Times"/>
          <w:sz w:val="24"/>
          <w:sz-cs w:val="24"/>
        </w:rPr>
        <w:t xml:space="preserve">5.4 Signal Category 3: Cross-Market Price Signals</w:t>
      </w:r>
    </w:p>
    <w:p>
      <w:pPr>
        <w:spacing w:after="160"/>
      </w:pPr>
      <w:r>
        <w:rPr>
          <w:rFonts w:ascii="Times" w:hAnsi="Times" w:cs="Times"/>
          <w:sz w:val="24"/>
          <w:sz-cs w:val="24"/>
          <w:b/>
        </w:rPr>
        <w:t xml:space="preserve">Source: </w:t>
      </w:r>
      <w:r>
        <w:rPr>
          <w:rFonts w:ascii="Times" w:hAnsi="Times" w:cs="Times"/>
          <w:sz w:val="24"/>
          <w:sz-cs w:val="24"/>
        </w:rPr>
        <w:t xml:space="preserve">Price movements in existing Polymarket markets that imply demand for derivative or adjacent markets.</w:t>
      </w:r>
    </w:p>
    <w:p>
      <w:pPr>
        <w:spacing w:after="160"/>
      </w:pPr>
      <w:r>
        <w:rPr>
          <w:rFonts w:ascii="Times" w:hAnsi="Times" w:cs="Times"/>
          <w:sz w:val="24"/>
          <w:sz-cs w:val="24"/>
          <w:b/>
        </w:rPr>
        <w:t xml:space="preserve">Why this matters: </w:t>
      </w:r>
      <w:r>
        <w:rPr>
          <w:rFonts w:ascii="Times" w:hAnsi="Times" w:cs="Times"/>
          <w:sz w:val="24"/>
          <w:sz-cs w:val="24"/>
        </w:rPr>
        <w:t xml:space="preserve">This is a signal source unique to Polymarket—no external platform can provide it. When the presidential nominee market moves 10% on VP selection rumors, that is a price-driven signal that a VP market should exist. When the shutdown market spikes, debt ceiling markets become relevant. When a tariff ruling market moves on SCOTUS oral argument analysis, per-decision tariff rate markets become relevant.</w:t>
      </w:r>
    </w:p>
    <w:p>
      <w:pPr>
        <w:spacing w:after="160"/>
      </w:pPr>
      <w:r>
        <w:rPr>
          <w:rFonts w:ascii="Times" w:hAnsi="Times" w:cs="Times"/>
          <w:sz w:val="24"/>
          <w:sz-cs w:val="24"/>
        </w:rPr>
        <w:t xml:space="preserve">This signal type directly addresses the structural derivatives failure mode. The platform’s own price data reveals which dimensions of uncertainty users are trading around, and markets can be created to isolate those specific dimensions.</w:t>
      </w:r>
    </w:p>
    <w:p>
      <w:pPr>
        <w:spacing w:after="160"/>
      </w:pPr>
      <w:r>
        <w:rPr>
          <w:rFonts w:ascii="Times" w:hAnsi="Times" w:cs="Times"/>
          <w:sz w:val="24"/>
          <w:sz-cs w:val="24"/>
          <w:b/>
        </w:rPr>
        <w:t xml:space="preserve">Specific signals to monitor:</w:t>
      </w:r>
    </w:p>
    <w:p>
      <w:pPr>
        <w:ind w:left="720" w:first-line="-720"/>
        <w:spacing w:after="80"/>
      </w:pPr>
      <w:r>
        <w:rPr>
          <w:rFonts w:ascii="Times" w:hAnsi="Times" w:cs="Times"/>
          <w:sz w:val="24"/>
          <w:sz-cs w:val="24"/>
          <w:b/>
        </w:rPr>
        <w:t xml:space="preserve"/>
        <w:tab/>
        <w:t xml:space="preserve">•</w:t>
        <w:tab/>
        <w:t xml:space="preserve">Causal drivers of large price movements. </w:t>
      </w:r>
      <w:r>
        <w:rPr>
          <w:rFonts w:ascii="Times" w:hAnsi="Times" w:cs="Times"/>
          <w:sz w:val="24"/>
          <w:sz-cs w:val="24"/>
        </w:rPr>
        <w:t xml:space="preserve">When a major market moves 5%+, identify the catalyst. If the catalyst is a related event that doesn’t have its own market, evaluate creating one.</w:t>
      </w:r>
    </w:p>
    <w:p>
      <w:pPr>
        <w:ind w:left="720" w:first-line="-720"/>
        <w:spacing w:after="80"/>
      </w:pPr>
      <w:r>
        <w:rPr>
          <w:rFonts w:ascii="Times" w:hAnsi="Times" w:cs="Times"/>
          <w:sz w:val="24"/>
          <w:sz-cs w:val="24"/>
          <w:b/>
        </w:rPr>
        <w:t xml:space="preserve"/>
        <w:tab/>
        <w:t xml:space="preserve">•</w:t>
        <w:tab/>
        <w:t xml:space="preserve">Comment section analysis. </w:t>
      </w:r>
      <w:r>
        <w:rPr>
          <w:rFonts w:ascii="Times" w:hAnsi="Times" w:cs="Times"/>
          <w:sz w:val="24"/>
          <w:sz-cs w:val="24"/>
        </w:rPr>
        <w:t xml:space="preserve">Polymarket market pages have active comment sections. Users frequently discuss related outcomes they wish they could trade. These comments are structured demand signals.</w:t>
      </w:r>
    </w:p>
    <w:p>
      <w:pPr>
        <w:ind w:left="720" w:first-line="-720"/>
        <w:spacing w:after="80"/>
      </w:pPr>
      <w:r>
        <w:rPr>
          <w:rFonts w:ascii="Times" w:hAnsi="Times" w:cs="Times"/>
          <w:sz w:val="24"/>
          <w:sz-cs w:val="24"/>
          <w:b/>
        </w:rPr>
        <w:t xml:space="preserve"/>
        <w:tab/>
        <w:t xml:space="preserve">•</w:t>
        <w:tab/>
        <w:t xml:space="preserve">Correlation between markets. </w:t>
      </w:r>
      <w:r>
        <w:rPr>
          <w:rFonts w:ascii="Times" w:hAnsi="Times" w:cs="Times"/>
          <w:sz w:val="24"/>
          <w:sz-cs w:val="24"/>
        </w:rPr>
        <w:t xml:space="preserve">If two markets consistently move together, investigate whether a third market (isolating the common driver) would attract its own volume.</w:t>
      </w:r>
    </w:p>
    <w:p>
      <w:pPr/>
      <w:r>
        <w:rPr>
          <w:rFonts w:ascii="Times" w:hAnsi="Times" w:cs="Times"/>
          <w:sz w:val="24"/>
          <w:sz-cs w:val="24"/>
        </w:rPr>
        <w:t xml:space="preserve">5.5 Signal Category 4: Competitor Intelligence</w:t>
      </w:r>
    </w:p>
    <w:p>
      <w:pPr>
        <w:spacing w:after="160"/>
      </w:pPr>
      <w:r>
        <w:rPr>
          <w:rFonts w:ascii="Times" w:hAnsi="Times" w:cs="Times"/>
          <w:sz w:val="24"/>
          <w:sz-cs w:val="24"/>
          <w:b/>
        </w:rPr>
        <w:t xml:space="preserve">Source: </w:t>
      </w:r>
      <w:r>
        <w:rPr>
          <w:rFonts w:ascii="Times" w:hAnsi="Times" w:cs="Times"/>
          <w:sz w:val="24"/>
          <w:sz-cs w:val="24"/>
        </w:rPr>
        <w:t xml:space="preserve">Market listings and volume data from Kalshi, Metaculus, Manifold Markets, PredictIt (if reactivated), and traditional sportsbooks (FanDuel, DraftKings, BetMGM).</w:t>
      </w:r>
    </w:p>
    <w:p>
      <w:pPr>
        <w:spacing w:after="160"/>
      </w:pPr>
      <w:r>
        <w:rPr>
          <w:rFonts w:ascii="Times" w:hAnsi="Times" w:cs="Times"/>
          <w:sz w:val="24"/>
          <w:sz-cs w:val="24"/>
          <w:b/>
        </w:rPr>
        <w:t xml:space="preserve">Why this matters: </w:t>
      </w:r>
      <w:r>
        <w:rPr>
          <w:rFonts w:ascii="Times" w:hAnsi="Times" w:cs="Times"/>
          <w:sz w:val="24"/>
          <w:sz-cs w:val="24"/>
        </w:rPr>
        <w:t xml:space="preserve">Competitor platform data is the second-highest-signal source after internal data because it represents market-validated demand. If Kalshi launches a PDUFA market and it generates $500K in volume in the first week, that is direct evidence that Polymarket should offer the same. If Metaculus has a popular question on AI regulation timelines with thousands of forecasters, that is a demand signal for a tradeable version on Polymarket.</w:t>
      </w:r>
    </w:p>
    <w:p>
      <w:pPr>
        <w:spacing w:after="160"/>
      </w:pPr>
      <w:r>
        <w:rPr>
          <w:rFonts w:ascii="Times" w:hAnsi="Times" w:cs="Times"/>
          <w:sz w:val="24"/>
          <w:sz-cs w:val="24"/>
        </w:rPr>
        <w:t xml:space="preserve">This is qualitatively different from social media or news monitoring because it reflects revealed preference: people have already chosen to put money (or reputation, on Metaculus/Manifold) behind their forecasts for these specific outcomes.</w:t>
      </w:r>
    </w:p>
    <w:p>
      <w:pPr>
        <w:spacing w:after="160"/>
      </w:pPr>
      <w:r>
        <w:rPr>
          <w:rFonts w:ascii="Times" w:hAnsi="Times" w:cs="Times"/>
          <w:sz w:val="24"/>
          <w:sz-cs w:val="24"/>
          <w:b/>
        </w:rPr>
        <w:t xml:space="preserve">Specific signals to monitor:</w:t>
      </w:r>
    </w:p>
    <w:p>
      <w:pPr>
        <w:ind w:left="720" w:first-line="-720"/>
        <w:spacing w:after="80"/>
      </w:pPr>
      <w:r>
        <w:rPr>
          <w:rFonts w:ascii="Times" w:hAnsi="Times" w:cs="Times"/>
          <w:sz w:val="24"/>
          <w:sz-cs w:val="24"/>
          <w:b/>
        </w:rPr>
        <w:t xml:space="preserve"/>
        <w:tab/>
        <w:t xml:space="preserve">•</w:t>
        <w:tab/>
        <w:t xml:space="preserve">New market categories on Kalshi. </w:t>
      </w:r>
      <w:r>
        <w:rPr>
          <w:rFonts w:ascii="Times" w:hAnsi="Times" w:cs="Times"/>
          <w:sz w:val="24"/>
          <w:sz-cs w:val="24"/>
        </w:rPr>
        <w:t xml:space="preserve">Kalshi already has a dedicated SCOTUS &amp; Courts category and has moved into weather derivatives. New category launches by Kalshi indicate market-validated demand. The question is not whether to copy, but whether to create a better version.</w:t>
      </w:r>
    </w:p>
    <w:p>
      <w:pPr>
        <w:ind w:left="720" w:first-line="-720"/>
        <w:spacing w:after="80"/>
      </w:pPr>
      <w:r>
        <w:rPr>
          <w:rFonts w:ascii="Times" w:hAnsi="Times" w:cs="Times"/>
          <w:sz w:val="24"/>
          <w:sz-cs w:val="24"/>
          <w:b/>
        </w:rPr>
        <w:t xml:space="preserve"/>
        <w:tab/>
        <w:t xml:space="preserve">•</w:t>
        <w:tab/>
        <w:t xml:space="preserve">Volume leaders on Kalshi. </w:t>
      </w:r>
      <w:r>
        <w:rPr>
          <w:rFonts w:ascii="Times" w:hAnsi="Times" w:cs="Times"/>
          <w:sz w:val="24"/>
          <w:sz-cs w:val="24"/>
        </w:rPr>
        <w:t xml:space="preserve">Kalshi’s highest-volume markets reveal which topics generate sustained trading interest beyond Polymarket’s existing coverage.</w:t>
      </w:r>
    </w:p>
    <w:p>
      <w:pPr>
        <w:ind w:left="720" w:first-line="-720"/>
        <w:spacing w:after="80"/>
      </w:pPr>
      <w:r>
        <w:rPr>
          <w:rFonts w:ascii="Times" w:hAnsi="Times" w:cs="Times"/>
          <w:sz w:val="24"/>
          <w:sz-cs w:val="24"/>
          <w:b/>
        </w:rPr>
        <w:t xml:space="preserve"/>
        <w:tab/>
        <w:t xml:space="preserve">•</w:t>
        <w:tab/>
        <w:t xml:space="preserve">Metaculus/Manifold popular questions. </w:t>
      </w:r>
      <w:r>
        <w:rPr>
          <w:rFonts w:ascii="Times" w:hAnsi="Times" w:cs="Times"/>
          <w:sz w:val="24"/>
          <w:sz-cs w:val="24"/>
        </w:rPr>
        <w:t xml:space="preserve">These platforms attract superforecasters and subject-matter experts. Questions that attract 1,000+ predictions indicate topics with genuine forecasting demand.</w:t>
      </w:r>
    </w:p>
    <w:p>
      <w:pPr>
        <w:ind w:left="720" w:first-line="-720"/>
        <w:spacing w:after="80"/>
      </w:pPr>
      <w:r>
        <w:rPr>
          <w:rFonts w:ascii="Times" w:hAnsi="Times" w:cs="Times"/>
          <w:sz w:val="24"/>
          <w:sz-cs w:val="24"/>
          <w:b/>
        </w:rPr>
        <w:t xml:space="preserve"/>
        <w:tab/>
        <w:t xml:space="preserve">•</w:t>
        <w:tab/>
        <w:t xml:space="preserve">Sportsbook line availability. </w:t>
      </w:r>
      <w:r>
        <w:rPr>
          <w:rFonts w:ascii="Times" w:hAnsi="Times" w:cs="Times"/>
          <w:sz w:val="24"/>
          <w:sz-cs w:val="24"/>
        </w:rPr>
        <w:t xml:space="preserve">If FanDuel offers NHL game lines and Polymarket doesn’t carry NHL at all, the sportsbook handle data quantifies exactly how much volume is being left on the table.</w:t>
      </w:r>
    </w:p>
    <w:p>
      <w:pPr/>
      <w:r>
        <w:rPr>
          <w:rFonts w:ascii="Times" w:hAnsi="Times" w:cs="Times"/>
          <w:sz w:val="24"/>
          <w:sz-cs w:val="24"/>
        </w:rPr>
        <w:t xml:space="preserve">5.6 Signal Category 5: Legislative and Regulatory Signals</w:t>
      </w:r>
    </w:p>
    <w:p>
      <w:pPr>
        <w:spacing w:after="160"/>
      </w:pPr>
      <w:r>
        <w:rPr>
          <w:rFonts w:ascii="Times" w:hAnsi="Times" w:cs="Times"/>
          <w:sz w:val="24"/>
          <w:sz-cs w:val="24"/>
          <w:b/>
        </w:rPr>
        <w:t xml:space="preserve">Source: </w:t>
      </w:r>
      <w:r>
        <w:rPr>
          <w:rFonts w:ascii="Times" w:hAnsi="Times" w:cs="Times"/>
          <w:sz w:val="24"/>
          <w:sz-cs w:val="24"/>
        </w:rPr>
        <w:t xml:space="preserve">Congress.gov bill tracker, Federal Register filings, CFTC/SEC/FDA dockets, state legislative trackers.</w:t>
      </w:r>
    </w:p>
    <w:p>
      <w:pPr>
        <w:spacing w:after="160"/>
      </w:pPr>
      <w:r>
        <w:rPr>
          <w:rFonts w:ascii="Times" w:hAnsi="Times" w:cs="Times"/>
          <w:sz w:val="24"/>
          <w:sz-cs w:val="24"/>
          <w:b/>
        </w:rPr>
        <w:t xml:space="preserve">Why this matters: </w:t>
      </w:r>
      <w:r>
        <w:rPr>
          <w:rFonts w:ascii="Times" w:hAnsi="Times" w:cs="Times"/>
          <w:sz w:val="24"/>
          <w:sz-cs w:val="24"/>
        </w:rPr>
        <w:t xml:space="preserve">Legislative and regulatory actions are among the cleanest prediction market candidates: they have binary outcomes (passed/failed, approved/rejected), official resolution sources (vote records, agency announcements), and known timelines (floor vote schedules, comment periods, PDUFA dates). They also tend to generate high wisdom-of-crowds value because legislative outcomes depend on whip counts, committee dynamics, and political calculations that are dispersed across many observers.</w:t>
      </w:r>
    </w:p>
    <w:p>
      <w:pPr>
        <w:spacing w:after="160"/>
      </w:pPr>
      <w:r>
        <w:rPr>
          <w:rFonts w:ascii="Times" w:hAnsi="Times" w:cs="Times"/>
          <w:sz w:val="24"/>
          <w:sz-cs w:val="24"/>
          <w:b/>
        </w:rPr>
        <w:t xml:space="preserve">Specific signals to monitor:</w:t>
      </w:r>
    </w:p>
    <w:p>
      <w:pPr>
        <w:ind w:left="720" w:first-line="-720"/>
        <w:spacing w:after="80"/>
      </w:pPr>
      <w:r>
        <w:rPr>
          <w:rFonts w:ascii="Times" w:hAnsi="Times" w:cs="Times"/>
          <w:sz w:val="24"/>
          <w:sz-cs w:val="24"/>
          <w:b/>
        </w:rPr>
        <w:t xml:space="preserve"/>
        <w:tab/>
        <w:t xml:space="preserve">•</w:t>
        <w:tab/>
        <w:t xml:space="preserve">Bills moving from committee to floor. </w:t>
      </w:r>
      <w:r>
        <w:rPr>
          <w:rFonts w:ascii="Times" w:hAnsi="Times" w:cs="Times"/>
          <w:sz w:val="24"/>
          <w:sz-cs w:val="24"/>
        </w:rPr>
        <w:t xml:space="preserve">A bill reported out of committee is far more likely to receive a vote than a bill languishing in committee. This stage transition is the appropriate trigger to evaluate a market.</w:t>
      </w:r>
    </w:p>
    <w:p>
      <w:pPr>
        <w:ind w:left="720" w:first-line="-720"/>
        <w:spacing w:after="80"/>
      </w:pPr>
      <w:r>
        <w:rPr>
          <w:rFonts w:ascii="Times" w:hAnsi="Times" w:cs="Times"/>
          <w:sz w:val="24"/>
          <w:sz-cs w:val="24"/>
          <w:b/>
        </w:rPr>
        <w:t xml:space="preserve"/>
        <w:tab/>
        <w:t xml:space="preserve">•</w:t>
        <w:tab/>
        <w:t xml:space="preserve">Regulatory comment period openings. </w:t>
      </w:r>
      <w:r>
        <w:rPr>
          <w:rFonts w:ascii="Times" w:hAnsi="Times" w:cs="Times"/>
          <w:sz w:val="24"/>
          <w:sz-cs w:val="24"/>
        </w:rPr>
        <w:t xml:space="preserve">When the CFTC opens an ANPRM with a 45-day comment period, the outcome of that rulemaking is uncertain and consequential. These are ideal market candidates, particularly for topics that affect Polymarket itself.</w:t>
      </w:r>
    </w:p>
    <w:p>
      <w:pPr>
        <w:ind w:left="720" w:first-line="-720"/>
        <w:spacing w:after="80"/>
      </w:pPr>
      <w:r>
        <w:rPr>
          <w:rFonts w:ascii="Times" w:hAnsi="Times" w:cs="Times"/>
          <w:sz w:val="24"/>
          <w:sz-cs w:val="24"/>
          <w:b/>
        </w:rPr>
        <w:t xml:space="preserve"/>
        <w:tab/>
        <w:t xml:space="preserve">•</w:t>
        <w:tab/>
        <w:t xml:space="preserve">Judicial calendar events. </w:t>
      </w:r>
      <w:r>
        <w:rPr>
          <w:rFonts w:ascii="Times" w:hAnsi="Times" w:cs="Times"/>
          <w:sz w:val="24"/>
          <w:sz-cs w:val="24"/>
        </w:rPr>
        <w:t xml:space="preserve">Oral arguments at SCOTUS or major circuit courts signal that a ruling is forthcoming. The window between oral argument and opinion is the ideal trading period.</w:t>
      </w:r>
    </w:p>
    <w:p>
      <w:pPr/>
      <w:r>
        <w:rPr>
          <w:rFonts w:ascii="Times" w:hAnsi="Times" w:cs="Times"/>
          <w:sz w:val="24"/>
          <w:sz-cs w:val="24"/>
        </w:rPr>
        <w:t xml:space="preserve">5.7 Signal Category 6: Media Intensity Signals</w:t>
      </w:r>
    </w:p>
    <w:p>
      <w:pPr>
        <w:spacing w:after="160"/>
      </w:pPr>
      <w:r>
        <w:rPr>
          <w:rFonts w:ascii="Times" w:hAnsi="Times" w:cs="Times"/>
          <w:sz w:val="24"/>
          <w:sz-cs w:val="24"/>
          <w:b/>
        </w:rPr>
        <w:t xml:space="preserve">Source: </w:t>
      </w:r>
      <w:r>
        <w:rPr>
          <w:rFonts w:ascii="Times" w:hAnsi="Times" w:cs="Times"/>
          <w:sz w:val="24"/>
          <w:sz-cs w:val="24"/>
        </w:rPr>
        <w:t xml:space="preserve">Major news outlets, editorial boards, wire services (AP, Reuters), Google Trends.</w:t>
      </w:r>
    </w:p>
    <w:p>
      <w:pPr>
        <w:spacing w:after="160"/>
      </w:pPr>
      <w:r>
        <w:rPr>
          <w:rFonts w:ascii="Times" w:hAnsi="Times" w:cs="Times"/>
          <w:sz w:val="24"/>
          <w:sz-cs w:val="24"/>
          <w:b/>
        </w:rPr>
        <w:t xml:space="preserve">Why this matters: </w:t>
      </w:r>
      <w:r>
        <w:rPr>
          <w:rFonts w:ascii="Times" w:hAnsi="Times" w:cs="Times"/>
          <w:sz w:val="24"/>
          <w:sz-cs w:val="24"/>
        </w:rPr>
        <w:t xml:space="preserve">Sustained media coverage of an uncertain outcome is a proxy for public attention—the raw fuel of prediction market volume. But the keyword is sustained. One-day viral moments (a celebrity gaffe, a meme) do not generate enough sustained interest to build market liquidity. The signal worth detecting is multi-day coverage of a genuinely uncertain binary outcome.</w:t>
      </w:r>
    </w:p>
    <w:p>
      <w:pPr>
        <w:spacing w:after="160"/>
      </w:pPr>
      <w:r>
        <w:rPr>
          <w:rFonts w:ascii="Times" w:hAnsi="Times" w:cs="Times"/>
          <w:sz w:val="24"/>
          <w:sz-cs w:val="24"/>
          <w:b/>
        </w:rPr>
        <w:t xml:space="preserve">The specificity filter: </w:t>
      </w:r>
      <w:r>
        <w:rPr>
          <w:rFonts w:ascii="Times" w:hAnsi="Times" w:cs="Times"/>
          <w:sz w:val="24"/>
          <w:sz-cs w:val="24"/>
        </w:rPr>
        <w:t xml:space="preserve">A topic is a good media-intensity signal for market creation when three conditions are met simultaneously: (1) coverage spans 3+ days across multiple outlets, (2) editorial disagreement exists about the outcome (editorials on both sides indicate genuine uncertainty), and (3) a clean binary framing is possible (‘Will X happen by Y date?’). Topics that meet conditions 1 and 2 but not 3 are interesting narratives, not prediction market candidates.</w:t>
      </w:r>
    </w:p>
    <w:p>
      <w:pPr/>
      <w:r>
        <w:rPr>
          <w:rFonts w:ascii="Times" w:hAnsi="Times" w:cs="Times"/>
          <w:sz w:val="24"/>
          <w:sz-cs w:val="24"/>
        </w:rPr>
        <w:t xml:space="preserve">5.8 Signal Category 7: Domain Community Signals</w:t>
      </w:r>
    </w:p>
    <w:p>
      <w:pPr>
        <w:spacing w:after="160"/>
      </w:pPr>
      <w:r>
        <w:rPr>
          <w:rFonts w:ascii="Times" w:hAnsi="Times" w:cs="Times"/>
          <w:sz w:val="24"/>
          <w:sz-cs w:val="24"/>
          <w:b/>
        </w:rPr>
        <w:t xml:space="preserve">Source: </w:t>
      </w:r>
      <w:r>
        <w:rPr>
          <w:rFonts w:ascii="Times" w:hAnsi="Times" w:cs="Times"/>
          <w:sz w:val="24"/>
          <w:sz-cs w:val="24"/>
        </w:rPr>
        <w:t xml:space="preserve">Category-specific expert communities, forums, and professional networks.</w:t>
      </w:r>
    </w:p>
    <w:p>
      <w:pPr>
        <w:spacing w:after="160"/>
      </w:pPr>
      <w:r>
        <w:rPr>
          <w:rFonts w:ascii="Times" w:hAnsi="Times" w:cs="Times"/>
          <w:sz w:val="24"/>
          <w:sz-cs w:val="24"/>
          <w:b/>
        </w:rPr>
        <w:t xml:space="preserve">Why this matters: </w:t>
      </w:r>
      <w:r>
        <w:rPr>
          <w:rFonts w:ascii="Times" w:hAnsi="Times" w:cs="Times"/>
          <w:sz w:val="24"/>
          <w:sz-cs w:val="24"/>
        </w:rPr>
        <w:t xml:space="preserve">Different Polymarket categories have fundamentally different expert communities, and the monitoring approach must be category-specific. Political prediction market opportunities surface in political consultant Twitter and campaign finance filings. Biotech opportunities surface in PDUFA tracking communities (BioPharmaChat, r/biotech). Sports opportunities surface among sharp bettors and analytics communities. Crypto opportunities surface on CT (crypto Twitter) and Telegram alpha groups.</w:t>
      </w:r>
    </w:p>
    <w:p>
      <w:pPr>
        <w:spacing w:after="160"/>
      </w:pPr>
      <w:r>
        <w:rPr>
          <w:rFonts w:ascii="Times" w:hAnsi="Times" w:cs="Times"/>
          <w:sz w:val="24"/>
          <w:sz-cs w:val="24"/>
        </w:rPr>
        <w:t xml:space="preserve">The value of domain community monitoring is that subject-matter experts identify nuances that generic media coverage misses. A biotech analyst may note that a specific Phase 3 trial’s interim data looks problematic, suggesting the PDUFA outcome is more uncertain than the market assumes. A political operative may detect a whip count shift in Congress before it’s reported. These early signals create market creation and market design opportunities.</w:t>
      </w:r>
    </w:p>
    <w:p>
      <w:pPr>
        <w:spacing w:after="160"/>
      </w:pPr>
      <w:r>
        <w:rPr>
          <w:rFonts w:ascii="Times" w:hAnsi="Times" w:cs="Times"/>
          <w:sz w:val="24"/>
          <w:sz-cs w:val="24"/>
          <w:b/>
        </w:rPr>
        <w:t xml:space="preserve">Domain-specific sources:</w:t>
      </w:r>
    </w:p>
    <w:p>
      <w:pPr/>
      <w:r>
        <w:rPr>
          <w:rFonts w:ascii="Arial" w:hAnsi="Arial" w:cs="Arial"/>
          <w:sz w:val="20"/>
          <w:sz-cs w:val="20"/>
          <w:b/>
        </w:rPr>
        <w:t xml:space="preserve">Category</w:t>
      </w:r>
    </w:p>
    <w:p>
      <w:pPr/>
      <w:r>
        <w:rPr>
          <w:rFonts w:ascii="Arial" w:hAnsi="Arial" w:cs="Arial"/>
          <w:sz w:val="20"/>
          <w:sz-cs w:val="20"/>
          <w:b/>
        </w:rPr>
        <w:t xml:space="preserve">Expert Communities</w:t>
      </w:r>
    </w:p>
    <w:p>
      <w:pPr/>
      <w:r>
        <w:rPr>
          <w:rFonts w:ascii="Arial" w:hAnsi="Arial" w:cs="Arial"/>
          <w:sz w:val="20"/>
          <w:sz-cs w:val="20"/>
          <w:b/>
        </w:rPr>
        <w:t xml:space="preserve">Signal Type</w:t>
      </w:r>
    </w:p>
    <w:p>
      <w:pPr/>
      <w:r>
        <w:rPr>
          <w:rFonts w:ascii="Arial" w:hAnsi="Arial" w:cs="Arial"/>
          <w:sz w:val="20"/>
          <w:sz-cs w:val="20"/>
        </w:rPr>
        <w:t xml:space="preserve">Politics/Elections</w:t>
      </w:r>
    </w:p>
    <w:p>
      <w:pPr/>
      <w:r>
        <w:rPr>
          <w:rFonts w:ascii="Arial" w:hAnsi="Arial" w:cs="Arial"/>
          <w:sz w:val="20"/>
          <w:sz-cs w:val="20"/>
        </w:rPr>
        <w:t xml:space="preserve">Political consultants on X, campaign finance trackers, polling analysts</w:t>
      </w:r>
    </w:p>
    <w:p>
      <w:pPr/>
      <w:r>
        <w:rPr>
          <w:rFonts w:ascii="Arial" w:hAnsi="Arial" w:cs="Arial"/>
          <w:sz w:val="20"/>
          <w:sz-cs w:val="20"/>
        </w:rPr>
        <w:t xml:space="preserve">Whip count shifts, internal polling leaks, endorsement patterns</w:t>
      </w:r>
    </w:p>
    <w:p>
      <w:pPr/>
      <w:r>
        <w:rPr>
          <w:rFonts w:ascii="Arial" w:hAnsi="Arial" w:cs="Arial"/>
          <w:sz w:val="20"/>
          <w:sz-cs w:val="20"/>
        </w:rPr>
        <w:t xml:space="preserve">Biotech/FDA</w:t>
      </w:r>
    </w:p>
    <w:p>
      <w:pPr/>
      <w:r>
        <w:rPr>
          <w:rFonts w:ascii="Arial" w:hAnsi="Arial" w:cs="Arial"/>
          <w:sz w:val="20"/>
          <w:sz-cs w:val="20"/>
        </w:rPr>
        <w:t xml:space="preserve">BioPharmaChat, r/biotech, PDUFA.bio, clinical trial registries</w:t>
      </w:r>
    </w:p>
    <w:p>
      <w:pPr/>
      <w:r>
        <w:rPr>
          <w:rFonts w:ascii="Arial" w:hAnsi="Arial" w:cs="Arial"/>
          <w:sz w:val="20"/>
          <w:sz-cs w:val="20"/>
        </w:rPr>
        <w:t xml:space="preserve">Safety signals, ADCOMM panel composition, FDA reviewer history</w:t>
      </w:r>
    </w:p>
    <w:p>
      <w:pPr/>
      <w:r>
        <w:rPr>
          <w:rFonts w:ascii="Arial" w:hAnsi="Arial" w:cs="Arial"/>
          <w:sz w:val="20"/>
          <w:sz-cs w:val="20"/>
        </w:rPr>
        <w:t xml:space="preserve">Sports</w:t>
      </w:r>
    </w:p>
    <w:p>
      <w:pPr/>
      <w:r>
        <w:rPr>
          <w:rFonts w:ascii="Arial" w:hAnsi="Arial" w:cs="Arial"/>
          <w:sz w:val="20"/>
          <w:sz-cs w:val="20"/>
        </w:rPr>
        <w:t xml:space="preserve">Sharp bettor accounts, analytics blogs, injury report specialists</w:t>
      </w:r>
    </w:p>
    <w:p>
      <w:pPr/>
      <w:r>
        <w:rPr>
          <w:rFonts w:ascii="Arial" w:hAnsi="Arial" w:cs="Arial"/>
          <w:sz w:val="20"/>
          <w:sz-cs w:val="20"/>
        </w:rPr>
        <w:t xml:space="preserve">Line movement patterns, injury intel, roster transaction timing</w:t>
      </w:r>
    </w:p>
    <w:p>
      <w:pPr/>
      <w:r>
        <w:rPr>
          <w:rFonts w:ascii="Arial" w:hAnsi="Arial" w:cs="Arial"/>
          <w:sz w:val="20"/>
          <w:sz-cs w:val="20"/>
        </w:rPr>
        <w:t xml:space="preserve">Crypto</w:t>
      </w:r>
    </w:p>
    <w:p>
      <w:pPr/>
      <w:r>
        <w:rPr>
          <w:rFonts w:ascii="Arial" w:hAnsi="Arial" w:cs="Arial"/>
          <w:sz w:val="20"/>
          <w:sz-cs w:val="20"/>
        </w:rPr>
        <w:t xml:space="preserve">CT (crypto Twitter), Telegram alpha groups, on-chain analysts</w:t>
      </w:r>
    </w:p>
    <w:p>
      <w:pPr/>
      <w:r>
        <w:rPr>
          <w:rFonts w:ascii="Arial" w:hAnsi="Arial" w:cs="Arial"/>
          <w:sz w:val="20"/>
          <w:sz-cs w:val="20"/>
        </w:rPr>
        <w:t xml:space="preserve">Token launch timing, governance proposals, protocol upgrades</w:t>
      </w:r>
    </w:p>
    <w:p>
      <w:pPr/>
      <w:r>
        <w:rPr>
          <w:rFonts w:ascii="Arial" w:hAnsi="Arial" w:cs="Arial"/>
          <w:sz w:val="20"/>
          <w:sz-cs w:val="20"/>
        </w:rPr>
        <w:t xml:space="preserve">Legal/SCOTUS</w:t>
      </w:r>
    </w:p>
    <w:p>
      <w:pPr/>
      <w:r>
        <w:rPr>
          <w:rFonts w:ascii="Arial" w:hAnsi="Arial" w:cs="Arial"/>
          <w:sz w:val="20"/>
          <w:sz-cs w:val="20"/>
        </w:rPr>
        <w:t xml:space="preserve">SCOTUSblog, legal scholars on X, law review feeds</w:t>
      </w:r>
    </w:p>
    <w:p>
      <w:pPr/>
      <w:r>
        <w:rPr>
          <w:rFonts w:ascii="Arial" w:hAnsi="Arial" w:cs="Arial"/>
          <w:sz w:val="20"/>
          <w:sz-cs w:val="20"/>
        </w:rPr>
        <w:t xml:space="preserve">Oral argument analysis, cert grant patterns, conference list signals</w:t>
      </w:r>
    </w:p>
    <w:p>
      <w:pPr/>
      <w:r>
        <w:rPr>
          <w:rFonts w:ascii="Arial" w:hAnsi="Arial" w:cs="Arial"/>
          <w:sz w:val="20"/>
          <w:sz-cs w:val="20"/>
        </w:rPr>
        <w:t xml:space="preserve">Macro/Economy</w:t>
      </w:r>
    </w:p>
    <w:p>
      <w:pPr/>
      <w:r>
        <w:rPr>
          <w:rFonts w:ascii="Arial" w:hAnsi="Arial" w:cs="Arial"/>
          <w:sz w:val="20"/>
          <w:sz-cs w:val="20"/>
        </w:rPr>
        <w:t xml:space="preserve">Fed watcher accounts, sell-side research, FOMC minutes analysis</w:t>
      </w:r>
    </w:p>
    <w:p>
      <w:pPr/>
      <w:r>
        <w:rPr>
          <w:rFonts w:ascii="Arial" w:hAnsi="Arial" w:cs="Arial"/>
          <w:sz w:val="20"/>
          <w:sz-cs w:val="20"/>
        </w:rPr>
        <w:t xml:space="preserve">Dot plot shifts, regional Fed president speeches, data revision patterns</w:t>
      </w:r>
    </w:p>
    <w:p>
      <w:pPr/>
      <w:r>
        <w:rPr>
          <w:rFonts w:ascii="Times" w:hAnsi="Times" w:cs="Times"/>
          <w:sz w:val="24"/>
          <w:sz-cs w:val="24"/>
        </w:rPr>
        <w:t xml:space="preserve"/>
        <w:br w:type="page"/>
        <w:t xml:space="preserve"/>
      </w:r>
    </w:p>
    <w:p>
      <w:pPr/>
      <w:r>
        <w:rPr>
          <w:rFonts w:ascii="Times" w:hAnsi="Times" w:cs="Times"/>
          <w:sz w:val="24"/>
          <w:sz-cs w:val="24"/>
        </w:rPr>
        <w:t xml:space="preserve">6. Component 4: Rapid Response Protocol</w:t>
      </w:r>
    </w:p>
    <w:p>
      <w:pPr/>
      <w:r>
        <w:rPr>
          <w:rFonts w:ascii="Times" w:hAnsi="Times" w:cs="Times"/>
          <w:sz w:val="24"/>
          <w:sz-cs w:val="24"/>
        </w:rPr>
        <w:t xml:space="preserve">6.1 Purpose</w:t>
      </w:r>
    </w:p>
    <w:p>
      <w:pPr>
        <w:spacing w:after="160"/>
      </w:pPr>
      <w:r>
        <w:rPr>
          <w:rFonts w:ascii="Times" w:hAnsi="Times" w:cs="Times"/>
          <w:sz w:val="24"/>
          <w:sz-cs w:val="24"/>
        </w:rPr>
        <w:t xml:space="preserve">The Rapid Response Protocol is a lightweight decision tree for breaking events that require same-day or same-hour market creation. Unlike the Coverage Calendar (which plans months ahead) and the Signal Detection Layer (which surfaces opportunities over days), the Rapid Response Protocol handles events where speed is the competitive advantage.</w:t>
      </w:r>
    </w:p>
    <w:p>
      <w:pPr>
        <w:spacing w:after="160"/>
      </w:pPr>
      <w:r>
        <w:rPr>
          <w:rFonts w:ascii="Times" w:hAnsi="Times" w:cs="Times"/>
          <w:sz w:val="24"/>
          <w:sz-cs w:val="24"/>
        </w:rPr>
        <w:t xml:space="preserve">Polymarket’s track record demonstrates strong rapid-response capability—Iran strike markets, emergency shutdown markets, and surprise political developments have all appeared quickly after events broke. The purpose of formalizing a protocol is to provide a consistent, repeatable decision framework that any team member can apply under time pressure, ensuring that the quality of rapid-response markets remains high as the volume and variety of events increases.</w:t>
      </w:r>
    </w:p>
    <w:p>
      <w:pPr/>
      <w:r>
        <w:rPr>
          <w:rFonts w:ascii="Times" w:hAnsi="Times" w:cs="Times"/>
          <w:sz w:val="24"/>
          <w:sz-cs w:val="24"/>
        </w:rPr>
        <w:t xml:space="preserve">6.2 The Four-Gate Decision Tree</w:t>
      </w:r>
    </w:p>
    <w:p>
      <w:pPr>
        <w:spacing w:after="160"/>
      </w:pPr>
      <w:r>
        <w:rPr>
          <w:rFonts w:ascii="Times" w:hAnsi="Times" w:cs="Times"/>
          <w:sz w:val="24"/>
          <w:sz-cs w:val="24"/>
        </w:rPr>
        <w:t xml:space="preserve">A breaking event should pass through four gates before a market is created. All four must be satisfied:</w:t>
      </w:r>
    </w:p>
    <w:p>
      <w:pPr>
        <w:ind w:left="720" w:first-line="-720"/>
        <w:spacing w:after="80"/>
      </w:pPr>
      <w:r>
        <w:rPr>
          <w:rFonts w:ascii="Times" w:hAnsi="Times" w:cs="Times"/>
          <w:sz w:val="24"/>
          <w:sz-cs w:val="24"/>
          <w:b/>
        </w:rPr>
        <w:t xml:space="preserve"/>
        <w:tab/>
        <w:t xml:space="preserve">•</w:t>
        <w:tab/>
        <w:t xml:space="preserve">Binary outcome? </w:t>
      </w:r>
      <w:r>
        <w:rPr>
          <w:rFonts w:ascii="Times" w:hAnsi="Times" w:cs="Times"/>
          <w:sz w:val="24"/>
          <w:sz-cs w:val="24"/>
        </w:rPr>
        <w:t xml:space="preserve">Can the event be framed as a yes/no question with exactly two possible outcomes? If the event is multi-dimensional or open-ended, it may require multiple markets or may not be suitable for rapid deployment. Speed favors simplicity.</w:t>
      </w:r>
    </w:p>
    <w:p>
      <w:pPr>
        <w:ind w:left="720" w:first-line="-720"/>
        <w:spacing w:after="80"/>
      </w:pPr>
      <w:r>
        <w:rPr>
          <w:rFonts w:ascii="Times" w:hAnsi="Times" w:cs="Times"/>
          <w:sz w:val="24"/>
          <w:sz-cs w:val="24"/>
          <w:b/>
        </w:rPr>
        <w:t xml:space="preserve"/>
        <w:tab/>
        <w:t xml:space="preserve">•</w:t>
        <w:tab/>
        <w:t xml:space="preserve">Genuine uncertainty? </w:t>
      </w:r>
      <w:r>
        <w:rPr>
          <w:rFonts w:ascii="Times" w:hAnsi="Times" w:cs="Times"/>
          <w:sz w:val="24"/>
          <w:sz-cs w:val="24"/>
        </w:rPr>
        <w:t xml:space="preserve">Is the outcome truly uncertain as of right now? If credible reporting has already established the outcome (e.g., a strike has already happened, a bill has already been signed), a post-hoc market serves no informational purpose. The market must be created while the outcome is still unknown.</w:t>
      </w:r>
    </w:p>
    <w:p>
      <w:pPr>
        <w:ind w:left="720" w:first-line="-720"/>
        <w:spacing w:after="80"/>
      </w:pPr>
      <w:r>
        <w:rPr>
          <w:rFonts w:ascii="Times" w:hAnsi="Times" w:cs="Times"/>
          <w:sz w:val="24"/>
          <w:sz-cs w:val="24"/>
          <w:b/>
        </w:rPr>
        <w:t xml:space="preserve"/>
        <w:tab/>
        <w:t xml:space="preserve">•</w:t>
        <w:tab/>
        <w:t xml:space="preserve">Sustained interest? </w:t>
      </w:r>
      <w:r>
        <w:rPr>
          <w:rFonts w:ascii="Times" w:hAnsi="Times" w:cs="Times"/>
          <w:sz w:val="24"/>
          <w:sz-cs w:val="24"/>
        </w:rPr>
        <w:t xml:space="preserve">Will the topic sustain trading interest for at least 48 hours? One-day stories generate thin markets that peak at $5-10K and die. The test: will people still care about this outcome in two days? A government shutdown will sustain interest for weeks. A single-day news cycle will not. When in doubt, err toward creation—a thin market is better than a missed opportunity if the downside is just low volume rather than reputational risk.</w:t>
      </w:r>
    </w:p>
    <w:p>
      <w:pPr>
        <w:ind w:left="720" w:first-line="-720"/>
        <w:spacing w:after="80"/>
      </w:pPr>
      <w:r>
        <w:rPr>
          <w:rFonts w:ascii="Times" w:hAnsi="Times" w:cs="Times"/>
          <w:sz w:val="24"/>
          <w:sz-cs w:val="24"/>
          <w:b/>
        </w:rPr>
        <w:t xml:space="preserve"/>
        <w:tab/>
        <w:t xml:space="preserve">•</w:t>
        <w:tab/>
        <w:t xml:space="preserve">Clean resolution? </w:t>
      </w:r>
      <w:r>
        <w:rPr>
          <w:rFonts w:ascii="Times" w:hAnsi="Times" w:cs="Times"/>
          <w:sz w:val="24"/>
          <w:sz-cs w:val="24"/>
        </w:rPr>
        <w:t xml:space="preserve">Can the market be resolved using a single, authoritative source that will be available within a reasonable timeframe? For rapid deployment, the resolution source must be identifiable at the time of market creation—not figured out later. If the resolution source is unclear, ambiguous, or contested, slow down and route through the full Evaluation Rubric instead.</w:t>
      </w:r>
    </w:p>
    <w:p>
      <w:pPr/>
      <w:r>
        <w:rPr>
          <w:rFonts w:ascii="Times" w:hAnsi="Times" w:cs="Times"/>
          <w:sz w:val="24"/>
          <w:sz-cs w:val="24"/>
        </w:rPr>
        <w:t xml:space="preserve">6.3 Resolution Speed Classes</w:t>
      </w:r>
    </w:p>
    <w:p>
      <w:pPr>
        <w:spacing w:after="160"/>
      </w:pPr>
      <w:r>
        <w:rPr>
          <w:rFonts w:ascii="Times" w:hAnsi="Times" w:cs="Times"/>
          <w:sz w:val="24"/>
          <w:sz-cs w:val="24"/>
        </w:rPr>
        <w:t xml:space="preserve">Different event types require different response speeds. The following classification helps prioritize team attention:</w:t>
      </w:r>
    </w:p>
    <w:p>
      <w:pPr/>
      <w:r>
        <w:rPr>
          <w:rFonts w:ascii="Arial" w:hAnsi="Arial" w:cs="Arial"/>
          <w:sz w:val="20"/>
          <w:sz-cs w:val="20"/>
          <w:b/>
        </w:rPr>
        <w:t xml:space="preserve">Speed Class</w:t>
      </w:r>
    </w:p>
    <w:p>
      <w:pPr/>
      <w:r>
        <w:rPr>
          <w:rFonts w:ascii="Arial" w:hAnsi="Arial" w:cs="Arial"/>
          <w:sz w:val="20"/>
          <w:sz-cs w:val="20"/>
          <w:b/>
        </w:rPr>
        <w:t xml:space="preserve">Response Time</w:t>
      </w:r>
    </w:p>
    <w:p>
      <w:pPr/>
      <w:r>
        <w:rPr>
          <w:rFonts w:ascii="Arial" w:hAnsi="Arial" w:cs="Arial"/>
          <w:sz w:val="20"/>
          <w:sz-cs w:val="20"/>
          <w:b/>
        </w:rPr>
        <w:t xml:space="preserve">Event Types</w:t>
      </w:r>
    </w:p>
    <w:p>
      <w:pPr/>
      <w:r>
        <w:rPr>
          <w:rFonts w:ascii="Arial" w:hAnsi="Arial" w:cs="Arial"/>
          <w:sz w:val="20"/>
          <w:sz-cs w:val="20"/>
          <w:b/>
        </w:rPr>
        <w:t xml:space="preserve">Example</w:t>
      </w:r>
    </w:p>
    <w:p>
      <w:pPr/>
      <w:r>
        <w:rPr>
          <w:rFonts w:ascii="Arial" w:hAnsi="Arial" w:cs="Arial"/>
          <w:sz w:val="20"/>
          <w:sz-cs w:val="20"/>
        </w:rPr>
        <w:t xml:space="preserve">Immediate (&lt;2 hrs)</w:t>
      </w:r>
    </w:p>
    <w:p>
      <w:pPr/>
      <w:r>
        <w:rPr>
          <w:rFonts w:ascii="Arial" w:hAnsi="Arial" w:cs="Arial"/>
          <w:sz w:val="20"/>
          <w:sz-cs w:val="20"/>
        </w:rPr>
        <w:t xml:space="preserve">Within 2 hours of event</w:t>
      </w:r>
    </w:p>
    <w:p>
      <w:pPr/>
      <w:r>
        <w:rPr>
          <w:rFonts w:ascii="Arial" w:hAnsi="Arial" w:cs="Arial"/>
          <w:sz w:val="20"/>
          <w:sz-cs w:val="20"/>
        </w:rPr>
        <w:t xml:space="preserve">Military actions, major political surprises, natural disasters</w:t>
      </w:r>
    </w:p>
    <w:p>
      <w:pPr/>
      <w:r>
        <w:rPr>
          <w:rFonts w:ascii="Arial" w:hAnsi="Arial" w:cs="Arial"/>
          <w:sz w:val="20"/>
          <w:sz-cs w:val="20"/>
        </w:rPr>
        <w:t xml:space="preserve">Iran strike, Supreme Court emergency ruling, major earthquake</w:t>
      </w:r>
    </w:p>
    <w:p>
      <w:pPr/>
      <w:r>
        <w:rPr>
          <w:rFonts w:ascii="Arial" w:hAnsi="Arial" w:cs="Arial"/>
          <w:sz w:val="20"/>
          <w:sz-cs w:val="20"/>
        </w:rPr>
        <w:t xml:space="preserve">Same-day (&lt;12 hrs)</w:t>
      </w:r>
    </w:p>
    <w:p>
      <w:pPr/>
      <w:r>
        <w:rPr>
          <w:rFonts w:ascii="Arial" w:hAnsi="Arial" w:cs="Arial"/>
          <w:sz w:val="20"/>
          <w:sz-cs w:val="20"/>
        </w:rPr>
        <w:t xml:space="preserve">Within 12 hours</w:t>
      </w:r>
    </w:p>
    <w:p>
      <w:pPr/>
      <w:r>
        <w:rPr>
          <w:rFonts w:ascii="Arial" w:hAnsi="Arial" w:cs="Arial"/>
          <w:sz w:val="20"/>
          <w:sz-cs w:val="20"/>
        </w:rPr>
        <w:t xml:space="preserve">Legislative developments, diplomatic events, major corporate announcements</w:t>
      </w:r>
    </w:p>
    <w:p>
      <w:pPr/>
      <w:r>
        <w:rPr>
          <w:rFonts w:ascii="Arial" w:hAnsi="Arial" w:cs="Arial"/>
          <w:sz w:val="20"/>
          <w:sz-cs w:val="20"/>
        </w:rPr>
        <w:t xml:space="preserve">Government shutdown begins, surprise resignation, major acquisition</w:t>
      </w:r>
    </w:p>
    <w:p>
      <w:pPr/>
      <w:r>
        <w:rPr>
          <w:rFonts w:ascii="Arial" w:hAnsi="Arial" w:cs="Arial"/>
          <w:sz w:val="20"/>
          <w:sz-cs w:val="20"/>
        </w:rPr>
        <w:t xml:space="preserve">Next-day (&lt;24 hrs)</w:t>
      </w:r>
    </w:p>
    <w:p>
      <w:pPr/>
      <w:r>
        <w:rPr>
          <w:rFonts w:ascii="Arial" w:hAnsi="Arial" w:cs="Arial"/>
          <w:sz w:val="20"/>
          <w:sz-cs w:val="20"/>
        </w:rPr>
        <w:t xml:space="preserve">Within 24 hours</w:t>
      </w:r>
    </w:p>
    <w:p>
      <w:pPr/>
      <w:r>
        <w:rPr>
          <w:rFonts w:ascii="Arial" w:hAnsi="Arial" w:cs="Arial"/>
          <w:sz w:val="20"/>
          <w:sz-cs w:val="20"/>
        </w:rPr>
        <w:t xml:space="preserve">Sustained crises, multi-day events, follow-on markets</w:t>
      </w:r>
    </w:p>
    <w:p>
      <w:pPr/>
      <w:r>
        <w:rPr>
          <w:rFonts w:ascii="Arial" w:hAnsi="Arial" w:cs="Arial"/>
          <w:sz w:val="20"/>
          <w:sz-cs w:val="20"/>
        </w:rPr>
        <w:t xml:space="preserve">Hurricane approaching landfall, prolonged diplomatic crisis, trial verdict watch</w:t>
      </w:r>
    </w:p>
    <w:p>
      <w:pPr/>
      <w:r>
        <w:rPr>
          <w:rFonts w:ascii="Times" w:hAnsi="Times" w:cs="Times"/>
          <w:sz w:val="24"/>
          <w:sz-cs w:val="24"/>
        </w:rPr>
        <w:t xml:space="preserve">6.4 Post-Creation Review</w:t>
      </w:r>
    </w:p>
    <w:p>
      <w:pPr>
        <w:spacing w:after="160"/>
      </w:pPr>
      <w:r>
        <w:rPr>
          <w:rFonts w:ascii="Times" w:hAnsi="Times" w:cs="Times"/>
          <w:sz w:val="24"/>
          <w:sz-cs w:val="24"/>
        </w:rPr>
        <w:t xml:space="preserve">Markets created under the Rapid Response Protocol bypass the full Evaluation Rubric in the interest of speed. To compensate, every rapid-response market should undergo a 24-hour post-creation review:</w:t>
      </w:r>
    </w:p>
    <w:p>
      <w:pPr>
        <w:ind w:left="720" w:first-line="-720"/>
        <w:spacing w:after="80"/>
      </w:pPr>
      <w:r>
        <w:rPr>
          <w:rFonts w:ascii="Times" w:hAnsi="Times" w:cs="Times"/>
          <w:sz w:val="24"/>
          <w:sz-cs w:val="24"/>
          <w:b/>
        </w:rPr>
        <w:t xml:space="preserve"/>
        <w:tab/>
        <w:t xml:space="preserve">•</w:t>
        <w:tab/>
        <w:t xml:space="preserve">Resolution criteria review: </w:t>
      </w:r>
      <w:r>
        <w:rPr>
          <w:rFonts w:ascii="Times" w:hAnsi="Times" w:cs="Times"/>
          <w:sz w:val="24"/>
          <w:sz-cs w:val="24"/>
        </w:rPr>
        <w:t xml:space="preserve">Is the resolution language precise enough? Are edge cases addressed? If not, update the resolution criteria while the market is still young and trading volume is low.</w:t>
      </w:r>
    </w:p>
    <w:p>
      <w:pPr>
        <w:ind w:left="720" w:first-line="-720"/>
        <w:spacing w:after="80"/>
      </w:pPr>
      <w:r>
        <w:rPr>
          <w:rFonts w:ascii="Times" w:hAnsi="Times" w:cs="Times"/>
          <w:sz w:val="24"/>
          <w:sz-cs w:val="24"/>
          <w:b/>
        </w:rPr>
        <w:t xml:space="preserve"/>
        <w:tab/>
        <w:t xml:space="preserve">•</w:t>
        <w:tab/>
        <w:t xml:space="preserve">Derivative assessment: </w:t>
      </w:r>
      <w:r>
        <w:rPr>
          <w:rFonts w:ascii="Times" w:hAnsi="Times" w:cs="Times"/>
          <w:sz w:val="24"/>
          <w:sz-cs w:val="24"/>
        </w:rPr>
        <w:t xml:space="preserve">Does this event warrant additional markets? The initial rapid-response market captures the primary binary question, but related derivative markets (duration, magnitude, follow-on actions) may add significant value.</w:t>
      </w:r>
    </w:p>
    <w:p>
      <w:pPr>
        <w:ind w:left="720" w:first-line="-720"/>
        <w:spacing w:after="80"/>
      </w:pPr>
      <w:r>
        <w:rPr>
          <w:rFonts w:ascii="Times" w:hAnsi="Times" w:cs="Times"/>
          <w:sz w:val="24"/>
          <w:sz-cs w:val="24"/>
          <w:b/>
        </w:rPr>
        <w:t xml:space="preserve"/>
        <w:tab/>
        <w:t xml:space="preserve">•</w:t>
        <w:tab/>
        <w:t xml:space="preserve">Rubric scoring: </w:t>
      </w:r>
      <w:r>
        <w:rPr>
          <w:rFonts w:ascii="Times" w:hAnsi="Times" w:cs="Times"/>
          <w:sz w:val="24"/>
          <w:sz-cs w:val="24"/>
        </w:rPr>
        <w:t xml:space="preserve">Retroactively score the market on the full 6-dimension rubric. This creates a feedback loop that improves future rapid-response decisions.</w:t>
      </w:r>
    </w:p>
    <w:p>
      <w:pPr/>
      <w:r>
        <w:rPr>
          <w:rFonts w:ascii="Times" w:hAnsi="Times" w:cs="Times"/>
          <w:sz w:val="24"/>
          <w:sz-cs w:val="24"/>
        </w:rPr>
        <w:t xml:space="preserve"/>
        <w:br w:type="page"/>
        <w:t xml:space="preserve"/>
      </w:r>
    </w:p>
    <w:p>
      <w:pPr/>
      <w:r>
        <w:rPr>
          <w:rFonts w:ascii="Times" w:hAnsi="Times" w:cs="Times"/>
          <w:sz w:val="24"/>
          <w:sz-cs w:val="24"/>
        </w:rPr>
        <w:t xml:space="preserve">7. Bringing It Together</w:t>
      </w:r>
    </w:p>
    <w:p>
      <w:pPr/>
      <w:r>
        <w:rPr>
          <w:rFonts w:ascii="Times" w:hAnsi="Times" w:cs="Times"/>
          <w:sz w:val="24"/>
          <w:sz-cs w:val="24"/>
        </w:rPr>
        <w:t xml:space="preserve">7.1 How the Components Interact</w:t>
      </w:r>
    </w:p>
    <w:p>
      <w:pPr>
        <w:spacing w:after="160"/>
      </w:pPr>
      <w:r>
        <w:rPr>
          <w:rFonts w:ascii="Times" w:hAnsi="Times" w:cs="Times"/>
          <w:sz w:val="24"/>
          <w:sz-cs w:val="24"/>
        </w:rPr>
        <w:t xml:space="preserve">The four components form a pipeline from opportunity identification through market launch:</w:t>
      </w:r>
    </w:p>
    <w:p>
      <w:pPr>
        <w:ind w:left="720" w:first-line="-720"/>
        <w:spacing w:after="80"/>
      </w:pPr>
      <w:r>
        <w:rPr>
          <w:rFonts w:ascii="Times" w:hAnsi="Times" w:cs="Times"/>
          <w:sz w:val="24"/>
          <w:sz-cs w:val="24"/>
          <w:b/>
        </w:rPr>
        <w:t xml:space="preserve"/>
        <w:tab/>
        <w:t xml:space="preserve">•</w:t>
        <w:tab/>
        <w:t xml:space="preserve">Coverage Calendar </w:t>
      </w:r>
      <w:r>
        <w:rPr>
          <w:rFonts w:ascii="Times" w:hAnsi="Times" w:cs="Times"/>
          <w:sz w:val="24"/>
          <w:sz-cs w:val="24"/>
        </w:rPr>
        <w:t xml:space="preserve">surfaces known future events and schedules market creation in advance. Most high-value markets—PDUFA dates, FOMC meetings, election primaries, SCOTUS opinion days—are calendar-driven.</w:t>
      </w:r>
    </w:p>
    <w:p>
      <w:pPr>
        <w:ind w:left="720" w:first-line="-720"/>
        <w:spacing w:after="80"/>
      </w:pPr>
      <w:r>
        <w:rPr>
          <w:rFonts w:ascii="Times" w:hAnsi="Times" w:cs="Times"/>
          <w:sz w:val="24"/>
          <w:sz-cs w:val="24"/>
          <w:b/>
        </w:rPr>
        <w:t xml:space="preserve"/>
        <w:tab/>
        <w:t xml:space="preserve">•</w:t>
        <w:tab/>
        <w:t xml:space="preserve">Signal Detection Layer </w:t>
      </w:r>
      <w:r>
        <w:rPr>
          <w:rFonts w:ascii="Times" w:hAnsi="Times" w:cs="Times"/>
          <w:sz w:val="24"/>
          <w:sz-cs w:val="24"/>
        </w:rPr>
        <w:t xml:space="preserve">surfaces opportunities that are not on the calendar: emerging trends, unmet demand, competitor moves, and derivative opportunities implied by existing market activity.</w:t>
      </w:r>
    </w:p>
    <w:p>
      <w:pPr>
        <w:ind w:left="720" w:first-line="-720"/>
        <w:spacing w:after="80"/>
      </w:pPr>
      <w:r>
        <w:rPr>
          <w:rFonts w:ascii="Times" w:hAnsi="Times" w:cs="Times"/>
          <w:sz w:val="24"/>
          <w:sz-cs w:val="24"/>
          <w:b/>
        </w:rPr>
        <w:t xml:space="preserve"/>
        <w:tab/>
        <w:t xml:space="preserve">•</w:t>
        <w:tab/>
        <w:t xml:space="preserve">Evaluation Rubric </w:t>
      </w:r>
      <w:r>
        <w:rPr>
          <w:rFonts w:ascii="Times" w:hAnsi="Times" w:cs="Times"/>
          <w:sz w:val="24"/>
          <w:sz-cs w:val="24"/>
        </w:rPr>
        <w:t xml:space="preserve">scores all candidates from both sources on six standardized dimensions, providing a consistent quality gate regardless of how the candidate was identified.</w:t>
      </w:r>
    </w:p>
    <w:p>
      <w:pPr>
        <w:ind w:left="720" w:first-line="-720"/>
        <w:spacing w:after="80"/>
      </w:pPr>
      <w:r>
        <w:rPr>
          <w:rFonts w:ascii="Times" w:hAnsi="Times" w:cs="Times"/>
          <w:sz w:val="24"/>
          <w:sz-cs w:val="24"/>
          <w:b/>
        </w:rPr>
        <w:t xml:space="preserve"/>
        <w:tab/>
        <w:t xml:space="preserve">•</w:t>
        <w:tab/>
        <w:t xml:space="preserve">Rapid Response Protocol </w:t>
      </w:r>
      <w:r>
        <w:rPr>
          <w:rFonts w:ascii="Times" w:hAnsi="Times" w:cs="Times"/>
          <w:sz w:val="24"/>
          <w:sz-cs w:val="24"/>
        </w:rPr>
        <w:t xml:space="preserve">handles breaking events that bypass the standard pipeline, with a post-creation review loop that feeds learning back into the rubric.</w:t>
      </w:r>
    </w:p>
    <w:p>
      <w:pPr/>
      <w:r>
        <w:rPr>
          <w:rFonts w:ascii="Times" w:hAnsi="Times" w:cs="Times"/>
          <w:sz w:val="24"/>
          <w:sz-cs w:val="24"/>
        </w:rPr>
        <w:t xml:space="preserve">7.2 Expected Impact</w:t>
      </w:r>
    </w:p>
    <w:p>
      <w:pPr>
        <w:spacing w:after="160"/>
      </w:pPr>
      <w:r>
        <w:rPr>
          <w:rFonts w:ascii="Times" w:hAnsi="Times" w:cs="Times"/>
          <w:sz w:val="24"/>
          <w:sz-cs w:val="24"/>
        </w:rPr>
        <w:t xml:space="preserve">Based on the companion Gap Analysis and Assessment Matrix, implementing this framework would capture the following opportunity set:</w:t>
      </w:r>
    </w:p>
    <w:p>
      <w:pPr/>
      <w:r>
        <w:rPr>
          <w:rFonts w:ascii="Arial" w:hAnsi="Arial" w:cs="Arial"/>
          <w:sz w:val="20"/>
          <w:sz-cs w:val="20"/>
          <w:b/>
        </w:rPr>
        <w:t xml:space="preserve">Opportunity Type</w:t>
      </w:r>
    </w:p>
    <w:p>
      <w:pPr/>
      <w:r>
        <w:rPr>
          <w:rFonts w:ascii="Arial" w:hAnsi="Arial" w:cs="Arial"/>
          <w:sz w:val="20"/>
          <w:sz-cs w:val="20"/>
          <w:b/>
        </w:rPr>
        <w:t xml:space="preserve">Source Component</w:t>
      </w:r>
    </w:p>
    <w:p>
      <w:pPr/>
      <w:r>
        <w:rPr>
          <w:rFonts w:ascii="Arial" w:hAnsi="Arial" w:cs="Arial"/>
          <w:sz w:val="20"/>
          <w:sz-cs w:val="20"/>
          <w:b/>
        </w:rPr>
        <w:t xml:space="preserve">Estimated Annual Volume</w:t>
      </w:r>
    </w:p>
    <w:p>
      <w:pPr/>
      <w:r>
        <w:rPr>
          <w:rFonts w:ascii="Arial" w:hAnsi="Arial" w:cs="Arial"/>
          <w:sz w:val="20"/>
          <w:sz-cs w:val="20"/>
          <w:b/>
        </w:rPr>
        <w:t xml:space="preserve">Time Horizon</w:t>
      </w:r>
    </w:p>
    <w:p>
      <w:pPr/>
      <w:r>
        <w:rPr>
          <w:rFonts w:ascii="Arial" w:hAnsi="Arial" w:cs="Arial"/>
          <w:sz w:val="20"/>
          <w:sz-cs w:val="20"/>
        </w:rPr>
        <w:t xml:space="preserve">Political derivatives (VP, primaries, midterm aggregates, legislation)</w:t>
      </w:r>
    </w:p>
    <w:p>
      <w:pPr/>
      <w:r>
        <w:rPr>
          <w:rFonts w:ascii="Arial" w:hAnsi="Arial" w:cs="Arial"/>
          <w:sz w:val="20"/>
          <w:sz-cs w:val="20"/>
        </w:rPr>
        <w:t xml:space="preserve">Coverage Calendar + Rubric</w:t>
      </w:r>
    </w:p>
    <w:p>
      <w:pPr/>
      <w:r>
        <w:rPr>
          <w:rFonts w:ascii="Arial" w:hAnsi="Arial" w:cs="Arial"/>
          <w:sz w:val="20"/>
          <w:sz-cs w:val="20"/>
        </w:rPr>
        <w:t xml:space="preserve">$185-395M</w:t>
      </w:r>
    </w:p>
    <w:p>
      <w:pPr/>
      <w:r>
        <w:rPr>
          <w:rFonts w:ascii="Arial" w:hAnsi="Arial" w:cs="Arial"/>
          <w:sz w:val="20"/>
          <w:sz-cs w:val="20"/>
        </w:rPr>
        <w:t xml:space="preserve">Immediate</w:t>
      </w:r>
    </w:p>
    <w:p>
      <w:pPr/>
      <w:r>
        <w:rPr>
          <w:rFonts w:ascii="Arial" w:hAnsi="Arial" w:cs="Arial"/>
          <w:sz w:val="20"/>
          <w:sz-cs w:val="20"/>
        </w:rPr>
        <w:t xml:space="preserve">Health &amp; Biotech (PDUFA, ADCOMM, Phase 3)</w:t>
      </w:r>
    </w:p>
    <w:p>
      <w:pPr/>
      <w:r>
        <w:rPr>
          <w:rFonts w:ascii="Arial" w:hAnsi="Arial" w:cs="Arial"/>
          <w:sz w:val="20"/>
          <w:sz-cs w:val="20"/>
        </w:rPr>
        <w:t xml:space="preserve">Coverage Calendar + Rubric</w:t>
      </w:r>
    </w:p>
    <w:p>
      <w:pPr/>
      <w:r>
        <w:rPr>
          <w:rFonts w:ascii="Arial" w:hAnsi="Arial" w:cs="Arial"/>
          <w:sz w:val="20"/>
          <w:sz-cs w:val="20"/>
        </w:rPr>
        <w:t xml:space="preserve">$50-150M/yr</w:t>
      </w:r>
    </w:p>
    <w:p>
      <w:pPr/>
      <w:r>
        <w:rPr>
          <w:rFonts w:ascii="Arial" w:hAnsi="Arial" w:cs="Arial"/>
          <w:sz w:val="20"/>
          <w:sz-cs w:val="20"/>
        </w:rPr>
        <w:t xml:space="preserve">6-12 months</w:t>
      </w:r>
    </w:p>
    <w:p>
      <w:pPr/>
      <w:r>
        <w:rPr>
          <w:rFonts w:ascii="Arial" w:hAnsi="Arial" w:cs="Arial"/>
          <w:sz w:val="20"/>
          <w:sz-cs w:val="20"/>
        </w:rPr>
        <w:t xml:space="preserve">Defensible sports (win totals, awards, season props)</w:t>
      </w:r>
    </w:p>
    <w:p>
      <w:pPr/>
      <w:r>
        <w:rPr>
          <w:rFonts w:ascii="Arial" w:hAnsi="Arial" w:cs="Arial"/>
          <w:sz w:val="20"/>
          <w:sz-cs w:val="20"/>
        </w:rPr>
        <w:t xml:space="preserve">Coverage Calendar + Competitor Intel</w:t>
      </w:r>
    </w:p>
    <w:p>
      <w:pPr/>
      <w:r>
        <w:rPr>
          <w:rFonts w:ascii="Arial" w:hAnsi="Arial" w:cs="Arial"/>
          <w:sz w:val="20"/>
          <w:sz-cs w:val="20"/>
        </w:rPr>
        <w:t xml:space="preserve">$70-160M/yr</w:t>
      </w:r>
    </w:p>
    <w:p>
      <w:pPr/>
      <w:r>
        <w:rPr>
          <w:rFonts w:ascii="Arial" w:hAnsi="Arial" w:cs="Arial"/>
          <w:sz w:val="20"/>
          <w:sz-cs w:val="20"/>
        </w:rPr>
        <w:t xml:space="preserve">Near-term</w:t>
      </w:r>
    </w:p>
    <w:p>
      <w:pPr/>
      <w:r>
        <w:rPr>
          <w:rFonts w:ascii="Arial" w:hAnsi="Arial" w:cs="Arial"/>
          <w:sz w:val="20"/>
          <w:sz-cs w:val="20"/>
        </w:rPr>
        <w:t xml:space="preserve">Structural navigation changes (Courts, Housing promotion)</w:t>
      </w:r>
    </w:p>
    <w:p>
      <w:pPr/>
      <w:r>
        <w:rPr>
          <w:rFonts w:ascii="Arial" w:hAnsi="Arial" w:cs="Arial"/>
          <w:sz w:val="20"/>
          <w:sz-cs w:val="20"/>
        </w:rPr>
        <w:t xml:space="preserve">Internal Platform Signals + Rubric</w:t>
      </w:r>
    </w:p>
    <w:p>
      <w:pPr/>
      <w:r>
        <w:rPr>
          <w:rFonts w:ascii="Arial" w:hAnsi="Arial" w:cs="Arial"/>
          <w:sz w:val="20"/>
          <w:sz-cs w:val="20"/>
        </w:rPr>
        <w:t xml:space="preserve">Multiplicative</w:t>
      </w:r>
    </w:p>
    <w:p>
      <w:pPr/>
      <w:r>
        <w:rPr>
          <w:rFonts w:ascii="Arial" w:hAnsi="Arial" w:cs="Arial"/>
          <w:sz w:val="20"/>
          <w:sz-cs w:val="20"/>
        </w:rPr>
        <w:t xml:space="preserve">Immediate</w:t>
      </w:r>
    </w:p>
    <w:p>
      <w:pPr/>
      <w:r>
        <w:rPr>
          <w:rFonts w:ascii="Arial" w:hAnsi="Arial" w:cs="Arial"/>
          <w:sz w:val="20"/>
          <w:sz-cs w:val="20"/>
        </w:rPr>
        <w:t xml:space="preserve">Reactive event markets (geopolitical, crisis, breaking news)</w:t>
      </w:r>
    </w:p>
    <w:p>
      <w:pPr/>
      <w:r>
        <w:rPr>
          <w:rFonts w:ascii="Arial" w:hAnsi="Arial" w:cs="Arial"/>
          <w:sz w:val="20"/>
          <w:sz-cs w:val="20"/>
        </w:rPr>
        <w:t xml:space="preserve">Signal Detection + Rapid Response</w:t>
      </w:r>
    </w:p>
    <w:p>
      <w:pPr/>
      <w:r>
        <w:rPr>
          <w:rFonts w:ascii="Arial" w:hAnsi="Arial" w:cs="Arial"/>
          <w:sz w:val="20"/>
          <w:sz-cs w:val="20"/>
        </w:rPr>
        <w:t xml:space="preserve">Variable ($10-50M+/event)</w:t>
      </w:r>
    </w:p>
    <w:p>
      <w:pPr/>
      <w:r>
        <w:rPr>
          <w:rFonts w:ascii="Arial" w:hAnsi="Arial" w:cs="Arial"/>
          <w:sz w:val="20"/>
          <w:sz-cs w:val="20"/>
        </w:rPr>
        <w:t xml:space="preserve">Ongoing</w:t>
      </w:r>
    </w:p>
    <w:p>
      <w:pPr/>
      <w:r>
        <w:rPr>
          <w:rFonts w:ascii="Times" w:hAnsi="Times" w:cs="Times"/>
          <w:sz w:val="24"/>
          <w:sz-cs w:val="24"/>
        </w:rPr>
        <w:t xml:space="preserve">7.3 What This Framework Does Not Do</w:t>
      </w:r>
    </w:p>
    <w:p>
      <w:pPr>
        <w:spacing w:after="160"/>
      </w:pPr>
      <w:r>
        <w:rPr>
          <w:rFonts w:ascii="Times" w:hAnsi="Times" w:cs="Times"/>
          <w:sz w:val="24"/>
          <w:sz-cs w:val="24"/>
        </w:rPr>
        <w:t xml:space="preserve">This framework is a process for identifying and evaluating market expansion opportunities. It is not a substitute for the legal, compliance, and regulatory analysis required before listing specific contracts. Each market that passes the Evaluation Rubric still requires review against applicable CFTC regulations, state-level gambling laws, and Polymarket’s internal compliance policies. The framework’s regulatory risk dimension provides an initial screen, but it is not legal advice.</w:t>
      </w:r>
    </w:p>
    <w:p>
      <w:pPr>
        <w:spacing w:after="160"/>
      </w:pPr>
      <w:r>
        <w:rPr>
          <w:rFonts w:ascii="Times" w:hAnsi="Times" w:cs="Times"/>
          <w:sz w:val="24"/>
          <w:sz-cs w:val="24"/>
        </w:rPr>
        <w:t xml:space="preserve">The framework also does not address market design (bracket sizing, tick increments, resolution timing, liquidity seeding strategies) or market lifecycle management (when to close a market, how to handle disputed resolutions, when to create successor markets). These are important operational questions that deserve their own analysis.</w:t>
      </w:r>
    </w:p>
    <w:p>
      <w:pPr>
        <w:spacing w:after="120"/>
      </w:pPr>
      <w:r>
        <w:rPr>
          <w:rFonts w:ascii="Times" w:hAnsi="Times" w:cs="Times"/>
          <w:sz w:val="24"/>
          <w:sz-cs w:val="24"/>
        </w:rPr>
        <w:t xml:space="preserve"/>
      </w:r>
    </w:p>
    <w:p>
      <w:pPr/>
      <w:r>
        <w:rPr>
          <w:rFonts w:ascii="Times" w:hAnsi="Times" w:cs="Times"/>
          <w:sz w:val="24"/>
          <w:sz-cs w:val="24"/>
        </w:rPr>
        <w:t xml:space="preserve">8. Conclusion</w:t>
      </w:r>
    </w:p>
    <w:p>
      <w:pPr>
        <w:spacing w:after="160"/>
      </w:pPr>
      <w:r>
        <w:rPr>
          <w:rFonts w:ascii="Times" w:hAnsi="Times" w:cs="Times"/>
          <w:sz w:val="24"/>
          <w:sz-cs w:val="24"/>
        </w:rPr>
        <w:t xml:space="preserve">The Market Intelligence and Expansion Framework proposes a systematic process for identifying three categories of opportunity that are easy to overlook even on a platform as comprehensive as Polymarket: structural derivatives of existing high-volume markets (such as VP nominee markets alongside $1.38B+ in presidential nominee trading), calendar-driven events that recur on known schedules across multiple domains (40+ PDUFA dates per year, 8 FOMC meetings, 60 SCOTUS cases per term), and liquidity concentration opportunities where fewer, better-designed markets may outperform a larger number of thinly traded ones.</w:t>
      </w:r>
    </w:p>
    <w:p>
      <w:pPr>
        <w:spacing w:after="160"/>
      </w:pPr>
      <w:r>
        <w:rPr>
          <w:rFonts w:ascii="Times" w:hAnsi="Times" w:cs="Times"/>
          <w:sz w:val="24"/>
          <w:sz-cs w:val="24"/>
        </w:rPr>
        <w:t xml:space="preserve">The framework addresses these opportunities with four components. The Coverage Calendar creates a forward-looking schedule of known-date binary events across all categories, ensuring that recurring opportunities are harvested systematically rather than noticed incidentally. The Signal Detection Layer monitors seven structured signal sources—from internal platform data and cross-market price movements to competitor intelligence and domain expert communities—to surface emerging opportunities that no calendar can predict. The Evaluation Rubric scores every candidate on six dimensions, including two (resolution source quality and audience expansion potential) that were identified during second-pass review as absent from the initial Assessment Matrix. The Rapid Response Protocol provides a lightweight four-gate decision tree for breaking events, with a post-creation review loop that feeds learning back into the rubric.</w:t>
      </w:r>
    </w:p>
    <w:p>
      <w:pPr>
        <w:spacing w:after="160"/>
      </w:pPr>
      <w:r>
        <w:rPr>
          <w:rFonts w:ascii="Times" w:hAnsi="Times" w:cs="Times"/>
          <w:sz w:val="24"/>
          <w:sz-cs w:val="24"/>
        </w:rPr>
        <w:t xml:space="preserve">Applied to the opportunity set identified in the companion research, this framework would systematically capture </w:t>
      </w:r>
      <w:r>
        <w:rPr>
          <w:rFonts w:ascii="Times" w:hAnsi="Times" w:cs="Times"/>
          <w:sz w:val="24"/>
          <w:sz-cs w:val="24"/>
          <w:b/>
        </w:rPr>
        <w:t xml:space="preserve">$185-395M in political derivatives, $50-150M/year in a genuinely new Health &amp; Biotech category, and $70-160M/year in defensible sports formats</w:t>
      </w:r>
      <w:r>
        <w:rPr>
          <w:rFonts w:ascii="Times" w:hAnsi="Times" w:cs="Times"/>
          <w:sz w:val="24"/>
          <w:sz-cs w:val="24"/>
        </w:rPr>
        <w:t xml:space="preserve">. Beyond these quantified opportunities, the Signal Detection Layer and Rapid Response Protocol ensure that the framework remains adaptive to the unpredictable events—geopolitical crises, surprise policy shifts, cultural moments—that have historically driven some of Polymarket’s highest-engagement markets. The goal is not to replace judgment with process, but to ensure that the process consistently surfaces the opportunities that judgment can then act on.</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CocoaOOXMLWriter/2575.7</generator>
</meta>
</file>