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ASSESSMENT MATRIX</w:t>
      </w:r>
    </w:p>
    <w:p>
      <w:pPr>
        <w:spacing w:after="40"/>
        <w:jc w:val="center"/>
      </w:pPr>
      <w:r>
        <w:rPr>
          <w:i/>
          <w:iCs/>
          <w:color w:val="666666"/>
        </w:rPr>
        <w:t xml:space="preserve">Regulatory Risk, Wisdom-of-Crowds Value, and Volume Estimates</w:t>
      </w:r>
    </w:p>
    <w:p>
      <w:pPr>
        <w:spacing w:after="400"/>
        <w:jc w:val="center"/>
      </w:pPr>
      <w:r>
        <w:rPr>
          <w:i/>
          <w:iCs/>
          <w:color w:val="666666"/>
        </w:rPr>
        <w:t xml:space="preserve">March 27, 2026</w:t>
      </w:r>
    </w:p>
    <w:p>
      <w:pPr>
        <w:pStyle w:val="Heading1"/>
      </w:pPr>
      <w:r>
        <w:t xml:space="preserve">Executive Summary</w:t>
      </w:r>
    </w:p>
    <w:p>
      <w:pPr>
        <w:spacing w:after="160" w:line="320"/>
      </w:pPr>
      <w:r>
        <w:t xml:space="preserve">This assessment evaluates 20 high-impact market expansion candidates across three dimensions beyond basic gap identification: regulatory risk, wisdom-of-crowds informational value, and estimated attainable volume. The analysis incorporates the latest regulatory developments, including the CFTC’s Advance Notice of Proposed Rulemaking (March 16, 2026), Staff Advisory No. 26-08 (March 12, 2026), the bipartisan Prediction Markets Are Gambling Act (Schiff/Curtis, March 2026), and Arizona’s criminal charges against Kalshi (March 17, 2026).</w:t>
      </w:r>
    </w:p>
    <w:p>
      <w:pPr>
        <w:spacing w:after="160" w:line="320"/>
      </w:pPr>
      <w:r>
        <w:rPr>
          <w:b/>
          <w:bCs/>
        </w:rPr>
        <w:t xml:space="preserve">Key finding: </w:t>
      </w:r>
      <w:r>
        <w:t xml:space="preserve">The candidates that score best across all three dimensions—high volume, low regulatory risk, and high wisdom-of-crowds value—are exclusively political and legislative markets, not sports markets. Despite sports offering the largest volume potential, regulatory risk fundamentally reshapes the priority order.</w:t>
      </w:r>
    </w:p>
    <w:p>
      <w:pPr>
        <w:spacing w:after="80"/>
      </w:pPr>
      <w:r>
        <w:t xml:space="preserve"/>
      </w:r>
    </w:p>
    <w:p>
      <w:pPr>
        <w:pStyle w:val="Heading1"/>
      </w:pPr>
      <w:r>
        <w:t xml:space="preserve">Evaluation Criteria</w:t>
      </w:r>
    </w:p>
    <w:p>
      <w:pPr>
        <w:pStyle w:val="Heading2"/>
      </w:pPr>
      <w:r>
        <w:t xml:space="preserve">1. Regulatory Risk</w:t>
      </w:r>
    </w:p>
    <w:p>
      <w:pPr>
        <w:spacing w:after="160" w:line="320"/>
      </w:pPr>
      <w:r>
        <w:t xml:space="preserve">Each candidate was assessed against five specific regulatory actions from Q1 2026:</w:t>
      </w:r>
    </w:p>
    <w:p>
      <w:pPr>
        <w:pStyle w:val="ListParagraph"/>
        <w:numPr>
          <w:ilvl w:val="0"/>
          <w:numId w:val="2"/>
        </w:numPr>
        <w:spacing w:after="80" w:line="300"/>
      </w:pPr>
      <w:r>
        <w:rPr>
          <w:b/>
          <w:bCs/>
        </w:rPr>
        <w:t xml:space="preserve">CFTC ANPRM (Mar 16, 2026)</w:t>
      </w:r>
      <w:r>
        <w:t xml:space="preserve"> — Advance Notice of Proposed Rulemaking seeking comment on prediction market regulation, including manipulation susceptibility, insider information treatment, and public interest determinations.</w:t>
      </w:r>
    </w:p>
    <w:p>
      <w:pPr>
        <w:pStyle w:val="ListParagraph"/>
        <w:numPr>
          <w:ilvl w:val="0"/>
          <w:numId w:val="2"/>
        </w:numPr>
        <w:spacing w:after="80" w:line="300"/>
      </w:pPr>
      <w:r>
        <w:rPr>
          <w:b/>
          <w:bCs/>
        </w:rPr>
        <w:t xml:space="preserve">CFTC Staff Advisory No. 26-08 (Mar 12, 2026)</w:t>
      </w:r>
      <w:r>
        <w:t xml:space="preserve"> — States that contracts on individual player performance ‘may be viewed more skeptically’ while aggregate/extended-period contracts are more defensible. Encourages engagement with sports leagues.</w:t>
      </w:r>
    </w:p>
    <w:p>
      <w:pPr>
        <w:pStyle w:val="ListParagraph"/>
        <w:numPr>
          <w:ilvl w:val="0"/>
          <w:numId w:val="2"/>
        </w:numPr>
        <w:spacing w:after="80" w:line="300"/>
      </w:pPr>
      <w:r>
        <w:rPr>
          <w:b/>
          <w:bCs/>
        </w:rPr>
        <w:t xml:space="preserve">Prediction Markets Are Gambling Act (Mar 2026)</w:t>
      </w:r>
      <w:r>
        <w:t xml:space="preserve"> — Bipartisan legislation (Schiff/Curtis) seeking to ban CFTC-registered entities from listing sports betting or casino-style contracts.</w:t>
      </w:r>
    </w:p>
    <w:p>
      <w:pPr>
        <w:pStyle w:val="ListParagraph"/>
        <w:numPr>
          <w:ilvl w:val="0"/>
          <w:numId w:val="2"/>
        </w:numPr>
        <w:spacing w:after="80" w:line="300"/>
      </w:pPr>
      <w:r>
        <w:rPr>
          <w:b/>
          <w:bCs/>
        </w:rPr>
        <w:t xml:space="preserve">Arizona criminal charges (Mar 17, 2026)</w:t>
      </w:r>
      <w:r>
        <w:t xml:space="preserve"> — Arizona AG filed criminal charges against Kalshi for operating an unlicensed sports gambling operation.</w:t>
      </w:r>
    </w:p>
    <w:p>
      <w:pPr>
        <w:pStyle w:val="ListParagraph"/>
        <w:numPr>
          <w:ilvl w:val="0"/>
          <w:numId w:val="2"/>
        </w:numPr>
        <w:spacing w:after="80" w:line="300"/>
      </w:pPr>
      <w:r>
        <w:rPr>
          <w:b/>
          <w:bCs/>
        </w:rPr>
        <w:t xml:space="preserve">CFTC Enforcement Advisory (Feb 2026)</w:t>
      </w:r>
      <w:r>
        <w:t xml:space="preserve"> — Two enforcement matters related to misuse of nonpublic information in prediction markets.</w:t>
      </w:r>
    </w:p>
    <w:p>
      <w:pPr>
        <w:pStyle w:val="Heading2"/>
      </w:pPr>
      <w:r>
        <w:t xml:space="preserve">2. Wisdom-of-Crowds Value</w:t>
      </w:r>
    </w:p>
    <w:p>
      <w:pPr>
        <w:spacing w:after="160" w:line="320"/>
      </w:pPr>
      <w:r>
        <w:t xml:space="preserve">Does crowd-sourced probability produce useful signal beyond existing information sources? Scored based on four factors:</w:t>
      </w:r>
    </w:p>
    <w:p>
      <w:pPr>
        <w:pStyle w:val="ListParagraph"/>
        <w:numPr>
          <w:ilvl w:val="0"/>
          <w:numId w:val="3"/>
        </w:numPr>
        <w:spacing w:after="80" w:line="300"/>
      </w:pPr>
      <w:r>
        <w:rPr>
          <w:b/>
          <w:bCs/>
        </w:rPr>
        <w:t xml:space="preserve">Information dispersion</w:t>
      </w:r>
      <w:r>
        <w:t xml:space="preserve"> — Is relevant knowledge spread across many participants, or concentrated among a few insiders?</w:t>
      </w:r>
    </w:p>
    <w:p>
      <w:pPr>
        <w:pStyle w:val="ListParagraph"/>
        <w:numPr>
          <w:ilvl w:val="0"/>
          <w:numId w:val="3"/>
        </w:numPr>
        <w:spacing w:after="80" w:line="300"/>
      </w:pPr>
      <w:r>
        <w:rPr>
          <w:b/>
          <w:bCs/>
        </w:rPr>
        <w:t xml:space="preserve">Genuine uncertainty</w:t>
      </w:r>
      <w:r>
        <w:t xml:space="preserve"> — Is the outcome truly uncertain, or do efficient existing markets already price it?</w:t>
      </w:r>
    </w:p>
    <w:p>
      <w:pPr>
        <w:pStyle w:val="ListParagraph"/>
        <w:numPr>
          <w:ilvl w:val="0"/>
          <w:numId w:val="3"/>
        </w:numPr>
        <w:spacing w:after="80" w:line="300"/>
      </w:pPr>
      <w:r>
        <w:rPr>
          <w:b/>
          <w:bCs/>
        </w:rPr>
        <w:t xml:space="preserve">Actionability</w:t>
      </w:r>
      <w:r>
        <w:t xml:space="preserve"> — Can external actors (campaigns, traders, policymakers, patients) use the probability signal to make better decisions?</w:t>
      </w:r>
    </w:p>
    <w:p>
      <w:pPr>
        <w:pStyle w:val="ListParagraph"/>
        <w:numPr>
          <w:ilvl w:val="0"/>
          <w:numId w:val="3"/>
        </w:numPr>
        <w:spacing w:after="80" w:line="300"/>
      </w:pPr>
      <w:r>
        <w:rPr>
          <w:b/>
          <w:bCs/>
        </w:rPr>
        <w:t xml:space="preserve">Absence of alternatives</w:t>
      </w:r>
      <w:r>
        <w:t xml:space="preserve"> — Does an efficient existing mechanism already aggregate this information (e.g., sportsbook odds, options markets, polling averages)?</w:t>
      </w:r>
    </w:p>
    <w:p>
      <w:pPr>
        <w:pStyle w:val="Heading2"/>
      </w:pPr>
      <w:r>
        <w:t xml:space="preserve">3. Estimated Attainable Volume</w:t>
      </w:r>
    </w:p>
    <w:p>
      <w:pPr>
        <w:spacing w:after="160" w:line="320"/>
      </w:pPr>
      <w:r>
        <w:t xml:space="preserve">Derived from comparable existing Polymarket markets, traditional market analogs, and audience size estimates. Volume figures are rough estimates based on observable data, not forecasts.</w:t>
      </w:r>
    </w:p>
    <w:p>
      <w:pPr>
        <w:spacing w:after="80"/>
      </w:pPr>
      <w:r>
        <w:t xml:space="preserve"/>
      </w:r>
    </w:p>
    <w:p>
      <w:pPr>
        <w:pStyle w:val="Heading1"/>
      </w:pPr>
      <w:r>
        <w:t xml:space="preserve">Core Findings</w:t>
      </w:r>
    </w:p>
    <w:p>
      <w:pPr>
        <w:pStyle w:val="Heading2"/>
      </w:pPr>
      <w:r>
        <w:t xml:space="preserve">Highest-Value Candidates (High Vol + Low Risk + High WoC)</w:t>
      </w:r>
    </w:p>
    <w:p>
      <w:pPr>
        <w:spacing w:after="160" w:line="320"/>
      </w:pPr>
      <w:r>
        <w:t xml:space="preserve">Five candidates score favorably across all three dimensions. All are political or legislative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25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Candidate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Est. Volume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Reg Risk</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WoC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VP Nominee Markets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$90-180M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Primary State-by-State Winners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$50-100M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Net Seats Gained/Lost (Midterms)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$10-30M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Reconciliation/Omnibus Passage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$15-30M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Debt Ceiling Markets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$10-30M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bl>
    <w:p>
      <w:pPr>
        <w:spacing w:after="160" w:line="320"/>
      </w:pPr>
      <w:r>
        <w:t xml:space="preserve">These markets benefit from established legal precedent (2024 Kalshi v. CFTC court victory), clean resolution sources (certified election results, official vote records), and genuine informational value that goes beyond entertainment.</w:t>
      </w:r>
    </w:p>
    <w:p>
      <w:pPr>
        <w:pStyle w:val="Heading2"/>
      </w:pPr>
      <w:r>
        <w:t xml:space="preserve">High Volume but Regulatory Minefield</w:t>
      </w:r>
    </w:p>
    <w:p>
      <w:pPr>
        <w:spacing w:after="160" w:line="320"/>
      </w:pPr>
      <w:r>
        <w:t xml:space="preserve">Sports markets offer the largest volume potential but face existential regulatory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1200"/>
        <w:gridCol w:w="30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Candidate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Est. Volume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Reg Risk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WoC Value</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Key Concern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Player Props (Per-Game)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$100M+/yr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CFTC: individual performance ‘skeptical’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In-Game Live Markets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$50-100M+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Single-actor manipulation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NHL/Golf/League Expansion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$50-130M/yr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Gambling Act would ban all sports</w:t>
            </w:r>
          </w:p>
        </w:tc>
      </w:tr>
    </w:tbl>
    <w:p>
      <w:pPr>
        <w:spacing w:after="160" w:line="320"/>
      </w:pPr>
      <w:r>
        <w:t xml:space="preserve">The Prediction Markets Are Gambling Act, if passed, would ban all sports contracts on CFTC-regulated exchanges. Even without legislation, the CFTC’s Staff Advisory specifically flags individual player performance contracts as higher risk. Sports markets that aggregate across extended periods (season win totals, award voting) face lower—but not zero—regulatory risk.</w:t>
      </w:r>
    </w:p>
    <w:p>
      <w:pPr>
        <w:pStyle w:val="Heading2"/>
      </w:pPr>
      <w:r>
        <w:t xml:space="preserve">Genuinely New Category: Health &amp; Biotech</w:t>
      </w:r>
    </w:p>
    <w:p>
      <w:pPr>
        <w:spacing w:after="160" w:line="320"/>
      </w:pPr>
      <w:r>
        <w:t xml:space="preserve">The only confirmed new category scores high on both WoC value and volume potential, with moderate (manageable) regulatory risk:</w:t>
      </w:r>
    </w:p>
    <w:p>
      <w:pPr>
        <w:pStyle w:val="ListParagraph"/>
        <w:numPr>
          <w:ilvl w:val="0"/>
          <w:numId w:val="2"/>
        </w:numPr>
        <w:spacing w:after="80" w:line="300"/>
      </w:pPr>
      <w:r>
        <w:rPr>
          <w:b/>
          <w:bCs/>
        </w:rPr>
        <w:t xml:space="preserve">FDA/PDUFA Markets ($50-150M/yr)</w:t>
      </w:r>
      <w:r>
        <w:t xml:space="preserve"> — 40+ known-date binary events per year. Stock moves 20-50% on decision day. Insider trading risk is real but identical to the risk already managed by the SEC for biotech stock trading. Resolution via FDA.gov is unambiguous.</w:t>
      </w:r>
    </w:p>
    <w:p>
      <w:pPr>
        <w:pStyle w:val="ListParagraph"/>
        <w:numPr>
          <w:ilvl w:val="0"/>
          <w:numId w:val="2"/>
        </w:numPr>
        <w:spacing w:after="80" w:line="300"/>
      </w:pPr>
      <w:r>
        <w:rPr>
          <w:b/>
          <w:bCs/>
        </w:rPr>
        <w:t xml:space="preserve">WoC value is very high</w:t>
      </w:r>
      <w:r>
        <w:t xml:space="preserve"> — PDUFA.bio’s ODIN AI achieves 93.6% accuracy on TIER_1 predictions, proving that probabilistic forecasting adds genuine value. A liquid prediction market would aggregate information from biotech analysts, medical researchers, regulatory professionals, and patient communities—producing consensus that could inform investment, clinical priorities, and healthcare policy.</w:t>
      </w:r>
    </w:p>
    <w:p>
      <w:pPr>
        <w:pStyle w:val="Heading2"/>
      </w:pPr>
      <w:r>
        <w:t xml:space="preserve">Structural Wins (Zero Risk)</w:t>
      </w:r>
    </w:p>
    <w:p>
      <w:pPr>
        <w:spacing w:after="160" w:line="320"/>
      </w:pPr>
      <w:r>
        <w:t xml:space="preserve">Two navigation/promotion changes would unlock existing market volume at no regulatory cost:</w:t>
      </w:r>
    </w:p>
    <w:p>
      <w:pPr>
        <w:pStyle w:val="ListParagraph"/>
        <w:numPr>
          <w:ilvl w:val="0"/>
          <w:numId w:val="2"/>
        </w:numPr>
        <w:spacing w:after="80" w:line="300"/>
      </w:pPr>
      <w:r>
        <w:rPr>
          <w:b/>
          <w:bCs/>
        </w:rPr>
        <w:t xml:space="preserve">Promote Courts/Legal to top-level navigation</w:t>
      </w:r>
      <w:r>
        <w:t xml:space="preserve"> — 105 SCOTUS markets already exist. AI was promoted from subtag to its own nav item; same treatment for Legal could significantly increase discoverability and volume.</w:t>
      </w:r>
    </w:p>
    <w:p>
      <w:pPr>
        <w:pStyle w:val="ListParagraph"/>
        <w:numPr>
          <w:ilvl w:val="0"/>
          <w:numId w:val="2"/>
        </w:numPr>
        <w:spacing w:after="80" w:line="300"/>
      </w:pPr>
      <w:r>
        <w:rPr>
          <w:b/>
          <w:bCs/>
        </w:rPr>
        <w:t xml:space="preserve">Promote Real Estate/Housing to top-level navigation</w:t>
      </w:r>
      <w:r>
        <w:t xml:space="preserve"> — 330+ markets scattered across Economy, Housing, Real Estate, and Mortgage tags. Consolidation with national aggregate markets would concentrate liquidity.</w:t>
      </w:r>
    </w:p>
    <w:p>
      <w:pPr>
        <w:spacing w:after="80"/>
      </w:pPr>
      <w:r>
        <w:t xml:space="preserve"/>
      </w:r>
    </w:p>
    <w:p>
      <w:pPr>
        <w:pStyle w:val="Heading1"/>
      </w:pPr>
      <w:r>
        <w:t xml:space="preserve">Conclusion</w:t>
      </w:r>
    </w:p>
    <w:p>
      <w:pPr>
        <w:spacing w:after="160" w:line="320"/>
      </w:pPr>
      <w:r>
        <w:t xml:space="preserve">The regulatory environment as of March 2026 is the single most important factor in market expansion prioritization. While sports markets offer the highest raw volume potential, they face existential legal risk from both federal legislation and state-level challenges. Political and legislative markets offer the best risk-adjusted returns, combining proven legal standing, high WoC value, and substantial volume potential. Health &amp; Biotech represents a compelling greenfield opportunity with manageable risk. Structural navigation changes (promoting Courts and Housing) offer immediate upside at zero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2026-03-29T15:51:17.390Z</dcterms:created>
  <dcterms:modified xsi:type="dcterms:W3CDTF">2026-03-29T15:51:17.390Z</dcterms:modified>
</cp:coreProperties>
</file>

<file path=docProps/custom.xml><?xml version="1.0" encoding="utf-8"?>
<Properties xmlns="http://schemas.openxmlformats.org/officeDocument/2006/custom-properties" xmlns:vt="http://schemas.openxmlformats.org/officeDocument/2006/docPropsVTypes"/>
</file>