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40"/>
        <w:jc w:val="center"/>
      </w:pPr>
      <w:r>
        <w:rPr>
          <w:rFonts w:ascii="Arial" w:cs="Arial" w:eastAsia="Arial" w:hAnsi="Arial"/>
          <w:b/>
          <w:bCs/>
          <w:color w:val="1a1a2e"/>
          <w:sz w:val="48"/>
          <w:szCs w:val="48"/>
        </w:rPr>
        <w:t xml:space="preserve">MARKET INTELLIGENCE AND</w:t>
      </w:r>
    </w:p>
    <w:p>
      <w:pPr>
        <w:spacing w:after="200"/>
        <w:jc w:val="center"/>
      </w:pPr>
      <w:r>
        <w:rPr>
          <w:rFonts w:ascii="Arial" w:cs="Arial" w:eastAsia="Arial" w:hAnsi="Arial"/>
          <w:b/>
          <w:bCs/>
          <w:color w:val="1a1a2e"/>
          <w:sz w:val="48"/>
          <w:szCs w:val="48"/>
        </w:rPr>
        <w:t xml:space="preserve">EXPANSION FRAMEWORK</w:t>
      </w:r>
    </w:p>
    <w:p>
      <w:pPr>
        <w:spacing w:after="40"/>
        <w:jc w:val="center"/>
      </w:pPr>
      <w:r>
        <w:rPr>
          <w:rFonts w:ascii="Arial" w:cs="Arial" w:eastAsia="Arial" w:hAnsi="Arial"/>
          <w:color w:val="555577"/>
          <w:sz w:val="24"/>
          <w:szCs w:val="24"/>
        </w:rPr>
        <w:t xml:space="preserve">A Systematic Process for Identifying, Evaluating, and Executing</w:t>
      </w:r>
    </w:p>
    <w:p>
      <w:pPr>
        <w:spacing w:after="400"/>
        <w:jc w:val="center"/>
      </w:pPr>
      <w:r>
        <w:rPr>
          <w:rFonts w:ascii="Arial" w:cs="Arial" w:eastAsia="Arial" w:hAnsi="Arial"/>
          <w:color w:val="555577"/>
          <w:sz w:val="24"/>
          <w:szCs w:val="24"/>
        </w:rPr>
        <w:t xml:space="preserve">Market Expansion Opportunities on Polymarket</w:t>
      </w:r>
    </w:p>
    <w:p>
      <w:pPr>
        <w:spacing w:after="80"/>
        <w:jc w:val="center"/>
      </w:pPr>
      <w:r>
        <w:rPr>
          <w:i/>
          <w:iCs/>
          <w:color w:val="666666"/>
        </w:rPr>
        <w:t xml:space="preserve">March 2026</w:t>
      </w:r>
    </w:p>
    <w:p>
      <w:pPr>
        <w:spacing w:after="160" w:line="320"/>
        <w:jc w:val="center"/>
      </w:pPr>
      <w:r>
        <w:rPr>
          <w:i/>
          <w:iCs/>
          <w:color w:val="666666"/>
        </w:rPr>
        <w:t xml:space="preserve">Companion to: Gap Analysis Dashboard, Assessment Matrix, Strategic Recommendations</w:t>
      </w:r>
    </w:p>
    <w:p>
      <w:r>
        <w:br w:type="page"/>
      </w:r>
    </w:p>
    <w:p>
      <w:pPr>
        <w:pStyle w:val="Heading1"/>
      </w:pPr>
      <w:r>
        <w:t xml:space="preserve">1. The Opportunity</w:t>
      </w:r>
    </w:p>
    <w:p>
      <w:pPr>
        <w:spacing w:after="160" w:line="320"/>
      </w:pPr>
      <w:r>
        <w:t xml:space="preserve">Polymarket’s platform hosts thousands of markets across politics, crypto, sports, geopolitics, finance, economy, weather, AI, and culture. Across these categories, our companion Gap Analysis identified over 50 expansion opportunities, many of which fall into three recurring patterns that a systematic framework can address:</w:t>
      </w:r>
    </w:p>
    <w:p>
      <w:pPr>
        <w:pStyle w:val="ListParagraph"/>
        <w:numPr>
          <w:ilvl w:val="0"/>
          <w:numId w:val="2"/>
        </w:numPr>
        <w:spacing w:after="80" w:line="300"/>
      </w:pPr>
      <w:r>
        <w:rPr>
          <w:b/>
          <w:bCs/>
        </w:rPr>
        <w:t xml:space="preserve">Structural derivatives of existing high-volume markets. </w:t>
      </w:r>
      <w:r>
        <w:t xml:space="preserve">The 2028 presidential nominee markets have generated $1.38B+ in combined volume. The logical derivative—VP nominee markets, which drove 2-5% swings in presidential odds during the 2024 cycle—represents an estimated $90-180M opportunity. Similarly, the main shutdown market has attracted $53.5M, but the closely related debt ceiling market is absent. These are natural extensions of the platform’s highest-performing markets that a systematic evaluation process would surface.</w:t>
      </w:r>
    </w:p>
    <w:p>
      <w:pPr>
        <w:pStyle w:val="ListParagraph"/>
        <w:numPr>
          <w:ilvl w:val="0"/>
          <w:numId w:val="3"/>
        </w:numPr>
        <w:spacing w:after="80" w:line="300"/>
      </w:pPr>
      <w:r>
        <w:rPr>
          <w:b/>
          <w:bCs/>
        </w:rPr>
        <w:t xml:space="preserve">Calendar-driven events with known schedules. </w:t>
      </w:r>
      <w:r>
        <w:t xml:space="preserve">The FDA publishes 40+ PDUFA target action dates per year, each a known-date binary event with 20-50% stock price swings. SCOTUS hears approximately 60 cases per term with opinions concentrated in June. FOMC meetings occur 8 times per year on a published schedule. OPEC+ meetings, earnings seasons, and election primaries all follow predictable calendars. A forward-looking coverage plan would ensure these recurring opportunities are harvested systematically.</w:t>
      </w:r>
    </w:p>
    <w:p>
      <w:pPr>
        <w:pStyle w:val="ListParagraph"/>
        <w:numPr>
          <w:ilvl w:val="0"/>
          <w:numId w:val="4"/>
        </w:numPr>
        <w:spacing w:after="80" w:line="300"/>
      </w:pPr>
      <w:r>
        <w:rPr>
          <w:b/>
          <w:bCs/>
        </w:rPr>
        <w:t xml:space="preserve">Liquidity concentration opportunities. </w:t>
      </w:r>
      <w:r>
        <w:t xml:space="preserve">The 2026 midterm elections have 435 individual House race markets, each generating $0-6K in volume. The aggregate market that media and campaigns actually focus on—net seats gained or lost—would concentrate attention into a single, more liquid market. Identifying when fewer, better-designed markets outperform a larger number of thinly traded ones is a repeatable analytical decision.</w:t>
      </w:r>
    </w:p>
    <w:p>
      <w:pPr>
        <w:spacing w:after="160" w:line="320"/>
      </w:pPr>
      <w:r>
        <w:t xml:space="preserve">This document presents a four-component framework designed to systematically identify, evaluate, and act on these types of opportunities. It builds on the analytical foundations established in the companion Gap Analysis and Assessment Matrix, which identified and scored 50+ expansion opportunities across all Polymarket categories. The framework transforms that one-time analysis into a repeatable, ongoing process.</w:t>
      </w:r>
    </w:p>
    <w:p>
      <w:pPr>
        <w:spacing w:after="120"/>
      </w:pPr>
      <w:r>
        <w:t xml:space="preserve"/>
      </w:r>
    </w:p>
    <w:p>
      <w:pPr>
        <w:pStyle w:val="Heading1"/>
      </w:pPr>
      <w:r>
        <w:t xml:space="preserve">2. Framework Overview</w:t>
      </w:r>
    </w:p>
    <w:p>
      <w:pPr>
        <w:spacing w:after="160" w:line="320"/>
      </w:pPr>
      <w:r>
        <w:t xml:space="preserve">The Market Intelligence and Expansion Framework consists of four components, each addressing a distinct phase of the market expansion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Component</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Function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Coverage Calendar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Systematically harvests known-date binary events across all categories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Quarterly planning + monthly updates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Candidate Evaluation Rubric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Scores any proposed market on 6 dimensions before creation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 candidate (ad hoc)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Signal Detection Layer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Surfaces expansion opportunities from 7 structured signal sources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Continuous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Rapid Response Protocol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Decision tree for breaking events requiring same-day market creation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Event-driven</w:t>
            </w:r>
          </w:p>
        </w:tc>
      </w:tr>
    </w:tbl>
    <w:p>
      <w:pPr>
        <w:spacing w:after="160" w:line="320"/>
      </w:pPr>
      <w:r>
        <w:t xml:space="preserve">These components are sequential: the Coverage Calendar identifies known opportunities, the Signal Detection Layer surfaces emerging ones, the Evaluation Rubric scores all candidates regardless of source, and the Rapid Response Protocol handles time-sensitive events that bypass the standard evaluation cycle.</w:t>
      </w:r>
    </w:p>
    <w:p>
      <w:r>
        <w:br w:type="page"/>
      </w:r>
    </w:p>
    <w:p>
      <w:pPr>
        <w:pStyle w:val="Heading1"/>
      </w:pPr>
      <w:r>
        <w:t xml:space="preserve">3. Component 1: Coverage Calendar</w:t>
      </w:r>
    </w:p>
    <w:p>
      <w:pPr>
        <w:pStyle w:val="Heading2"/>
      </w:pPr>
      <w:r>
        <w:t xml:space="preserve">3.1 Purpose</w:t>
      </w:r>
    </w:p>
    <w:p>
      <w:pPr>
        <w:spacing w:after="160" w:line="320"/>
      </w:pPr>
      <w:r>
        <w:t xml:space="preserve">The Coverage Calendar is a systematic, forward-looking schedule of known-date binary events that could support prediction markets. Its purpose is to eliminate the category of missed opportunity where a market could have been created months in advance but wasn’t because no one was tracking the event calendar for that domain.</w:t>
      </w:r>
    </w:p>
    <w:p>
      <w:pPr>
        <w:spacing w:after="160" w:line="320"/>
      </w:pPr>
      <w:r>
        <w:t xml:space="preserve">This component directly addresses the second failure mode identified above: calendar-driven opportunities that slip through the cracks. By maintaining a rolling calendar across all domains, the team can plan market creation in advance, design resolution criteria carefully, and seed liquidity before interest peaks.</w:t>
      </w:r>
    </w:p>
    <w:p>
      <w:pPr>
        <w:pStyle w:val="Heading2"/>
      </w:pPr>
      <w:r>
        <w:t xml:space="preserve">3.2 Domain Calendars</w:t>
      </w:r>
    </w:p>
    <w:p>
      <w:pPr>
        <w:spacing w:after="160" w:line="320"/>
      </w:pPr>
      <w:r>
        <w:t xml:space="preserve">Each category on Polymarket maps to one or more external event calendars. The following table identifies the primary calendars, their cadence, and the optimal market creation window—the lead time that balances early liquidity seeding against premature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800"/>
        <w:gridCol w:w="24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Domain</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Calendar Source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Events/Year</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Optimal Lead 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Federal Reserve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FOMC meeting schedule (federalreserve.gov)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 meetings + 4 SEP releases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4-6 weeks before meeting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Central Banks (Global)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ECB, BOJ, BOE, BOC, SNB published schedules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 decisions combined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3-4 weeks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FDA / Biotech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PDUFA calendar (fdatracker.com, pdufa.bio)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 PDUFA dates/year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8-12 weeks (once NDA accepted)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SCOTUS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SCOTUSblog case tracker, argument calendar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~60 cases/term, bulk opinions in June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After oral argument (2-4 months before opinion)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Elections (US)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State SOS offices, FEC filing deadlines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Primary calendar fixed 12+ months out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6-12 months for primaries, 18 months for general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Congress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Congressional calendar, CBO scoring dates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Ongoing (session-dependent)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When legislation moves to floor vote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Earnings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Company IR calendars, earnings whisper sites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~2,000 S&amp;P 500 reports/year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 weeks before report date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Weather / Hurricane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NOAA seasonal outlook (May), NHC storm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6-month season, ~15 named storms/yr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Season outlook: May; per-storm: at formation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Sports Awards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League award voting timelines, ceremony dates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 major awards across leagues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After midseason (when race narrows)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Geopolitics / Trade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WTO schedules, G7/G20 summits, USTR announcements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Variable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2-4 weeks before known events</w:t>
            </w:r>
          </w:p>
        </w:tc>
      </w:tr>
    </w:tbl>
    <w:p>
      <w:pPr>
        <w:pStyle w:val="Heading2"/>
      </w:pPr>
      <w:r>
        <w:t xml:space="preserve">3.3 Calendar Maintenance Process</w:t>
      </w:r>
    </w:p>
    <w:p>
      <w:pPr>
        <w:spacing w:after="160" w:line="320"/>
      </w:pPr>
      <w:r>
        <w:t xml:space="preserve">The Coverage Calendar is not a static document. It requires quarterly planning with monthly refinement:</w:t>
      </w:r>
    </w:p>
    <w:p>
      <w:pPr>
        <w:pStyle w:val="ListParagraph"/>
        <w:numPr>
          <w:ilvl w:val="0"/>
          <w:numId w:val="5"/>
        </w:numPr>
        <w:spacing w:after="80" w:line="300"/>
      </w:pPr>
      <w:r>
        <w:rPr>
          <w:b/>
          <w:bCs/>
        </w:rPr>
        <w:t xml:space="preserve">Quarterly: </w:t>
      </w:r>
      <w:r>
        <w:t xml:space="preserve">At the start of each quarter, review all domain calendars and populate a rolling 6-month forward schedule. Identify the 20-30 highest-priority events and assign market creation timelines.</w:t>
      </w:r>
    </w:p>
    <w:p>
      <w:pPr>
        <w:pStyle w:val="ListParagraph"/>
        <w:numPr>
          <w:ilvl w:val="0"/>
          <w:numId w:val="5"/>
        </w:numPr>
        <w:spacing w:after="80" w:line="300"/>
      </w:pPr>
      <w:r>
        <w:rPr>
          <w:b/>
          <w:bCs/>
        </w:rPr>
        <w:t xml:space="preserve">Monthly: </w:t>
      </w:r>
      <w:r>
        <w:t xml:space="preserve">Update the calendar with newly announced events (FDA acceptance of new NDAs, SCOTUS granting certiorari, newly introduced legislation). Remove or defer events that have lost relevance.</w:t>
      </w:r>
    </w:p>
    <w:p>
      <w:pPr>
        <w:pStyle w:val="ListParagraph"/>
        <w:numPr>
          <w:ilvl w:val="0"/>
          <w:numId w:val="5"/>
        </w:numPr>
        <w:spacing w:after="80" w:line="300"/>
      </w:pPr>
      <w:r>
        <w:rPr>
          <w:b/>
          <w:bCs/>
        </w:rPr>
        <w:t xml:space="preserve">Weekly: </w:t>
      </w:r>
      <w:r>
        <w:t xml:space="preserve">Cross-check the next 4 weeks against existing markets. Flag any upcoming events that lack market coverage and route them through the Evaluation Rubric.</w:t>
      </w:r>
    </w:p>
    <w:p>
      <w:pPr>
        <w:pStyle w:val="Heading2"/>
      </w:pPr>
      <w:r>
        <w:t xml:space="preserve">3.4 Example: Q2 2026 Calendar Extract</w:t>
      </w:r>
    </w:p>
    <w:p>
      <w:pPr>
        <w:spacing w:after="160" w:line="320"/>
      </w:pPr>
      <w:r>
        <w:t xml:space="preserve">To illustrate the Coverage Calendar in practice, here is a partial extract of what a Q2 2026 calendar would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600"/>
        <w:gridCol w:w="1400"/>
        <w:gridCol w:w="21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Date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Event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Category</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Market Exists?</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Apr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LLY Orforglipron PDUFA (oral GLP-1)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Health/Biotech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 (high-profile, obesity drug)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Apr 30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CFTC ANPRM comment period closes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Regulatory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(meta)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Monitor for market implications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May 6-7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FOMC Meeting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Verify Dot Plot/SEP coverage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May (TBD)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NOAA Hurricane Season Outlook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Weather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 seasonal count range market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Jun (TBD)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SCOTUS June opinion dump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Legal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Partial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 markets for argued but unresolved cases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Jun 11-12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FOMC Meeting + SEP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(rate decision)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 Dot Plot market if rubric passes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Jun 14-Jul 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2026 FIFA World Cup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Sports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Verify group stage + knockout coverage</w:t>
            </w:r>
          </w:p>
        </w:tc>
      </w:tr>
    </w:tbl>
    <w:p>
      <w:pPr>
        <w:spacing w:after="160" w:line="320"/>
      </w:pPr>
      <w:r>
        <w:t xml:space="preserve">This illustrative extract demonstrates how the calendar surfaces the Orforglipron PDUFA date (a high-profile obesity drug from Eli Lilly that would be among the first Health &amp; Biotech markets) and the NOAA hurricane outlook (a seasonal count market opportunity) alongside routine coverage verification for existing Fed and SCOTUS markets. Without a systematic calendar, these events would depend on individual team members happening to notice them.</w:t>
      </w:r>
    </w:p>
    <w:p>
      <w:r>
        <w:br w:type="page"/>
      </w:r>
    </w:p>
    <w:p>
      <w:pPr>
        <w:pStyle w:val="Heading1"/>
      </w:pPr>
      <w:r>
        <w:t xml:space="preserve">4. Component 2: Candidate Evaluation Rubric</w:t>
      </w:r>
    </w:p>
    <w:p>
      <w:pPr>
        <w:pStyle w:val="Heading2"/>
      </w:pPr>
      <w:r>
        <w:t xml:space="preserve">4.1 Purpose</w:t>
      </w:r>
    </w:p>
    <w:p>
      <w:pPr>
        <w:spacing w:after="160" w:line="320"/>
      </w:pPr>
      <w:r>
        <w:t xml:space="preserve">The Evaluation Rubric is a standardized scoring framework that any team member can apply to a proposed market, regardless of whether the candidate originated from the Coverage Calendar, the Signal Detection Layer, a user request, or an ad hoc team idea. Its purpose is to impose consistent quality standards and to make the decision to create or decline a market explicit, documented, and repeatable.</w:t>
      </w:r>
    </w:p>
    <w:p>
      <w:pPr>
        <w:pStyle w:val="Heading2"/>
      </w:pPr>
      <w:r>
        <w:t xml:space="preserve">4.2 The Six Dimensions</w:t>
      </w:r>
    </w:p>
    <w:p>
      <w:pPr>
        <w:spacing w:after="160" w:line="320"/>
      </w:pPr>
      <w:r>
        <w:t xml:space="preserve">The rubric scores each candidate on six dimensions. The first four were established in the companion Assessment Matrix; the final two were identified through a second-pass review of what that initial framework missed.</w:t>
      </w:r>
    </w:p>
    <w:p>
      <w:pPr>
        <w:spacing w:after="120"/>
      </w:pPr>
      <w:r>
        <w:t xml:space="preserve"/>
      </w:r>
    </w:p>
    <w:p>
      <w:pPr>
        <w:pStyle w:val="Heading3"/>
      </w:pPr>
      <w:r>
        <w:t xml:space="preserve">Dimension 1: Regulatory Risk</w:t>
      </w:r>
    </w:p>
    <w:p>
      <w:pPr>
        <w:spacing w:after="160" w:line="320"/>
      </w:pPr>
      <w:r>
        <w:rPr>
          <w:b/>
          <w:bCs/>
        </w:rPr>
        <w:t xml:space="preserve">Question: </w:t>
      </w:r>
      <w:r>
        <w:t xml:space="preserve">Does this market type face specific regulatory scrutiny that could result in enforcement action, legislative prohibition, or reputational damage?</w:t>
      </w:r>
    </w:p>
    <w:p>
      <w:pPr>
        <w:spacing w:after="160" w:line="320"/>
      </w:pPr>
      <w:r>
        <w:rPr>
          <w:b/>
          <w:bCs/>
        </w:rPr>
        <w:t xml:space="preserve">Scoring guidance:</w:t>
      </w:r>
    </w:p>
    <w:p>
      <w:pPr>
        <w:pStyle w:val="ListParagraph"/>
        <w:numPr>
          <w:ilvl w:val="0"/>
          <w:numId w:val="5"/>
        </w:numPr>
        <w:spacing w:after="80" w:line="300"/>
      </w:pPr>
      <w:r>
        <w:rPr>
          <w:b/>
          <w:bCs/>
        </w:rPr>
        <w:t xml:space="preserve">Low: </w:t>
      </w:r>
      <w:r>
        <w:t xml:space="preserve">The market type has established legal precedent or falls within uncontested CFTC jurisdiction. Examples: political event contracts (validated by Kalshi v. CFTC, Oct 2024), economic indicator markets, weather/climate markets.</w:t>
      </w:r>
    </w:p>
    <w:p>
      <w:pPr>
        <w:pStyle w:val="ListParagraph"/>
        <w:numPr>
          <w:ilvl w:val="0"/>
          <w:numId w:val="5"/>
        </w:numPr>
        <w:spacing w:after="80" w:line="300"/>
      </w:pPr>
      <w:r>
        <w:rPr>
          <w:b/>
          <w:bCs/>
        </w:rPr>
        <w:t xml:space="preserve">Medium: </w:t>
      </w:r>
      <w:r>
        <w:t xml:space="preserve">The market type is permissible but faces active regulatory questions. Examples: biotech markets (insider trading concerns, CFTC ANPRM asking about MNPI treatment), tariff markets (government insider risk), aggregate sports contracts (CFTC Advisory calls these more defensible but Gambling Act could still apply).</w:t>
      </w:r>
    </w:p>
    <w:p>
      <w:pPr>
        <w:pStyle w:val="ListParagraph"/>
        <w:numPr>
          <w:ilvl w:val="0"/>
          <w:numId w:val="5"/>
        </w:numPr>
        <w:spacing w:after="80" w:line="300"/>
      </w:pPr>
      <w:r>
        <w:rPr>
          <w:b/>
          <w:bCs/>
        </w:rPr>
        <w:t xml:space="preserve">High: </w:t>
      </w:r>
      <w:r>
        <w:t xml:space="preserve">The market type is under direct regulatory challenge. Examples: per-game player props (CFTC Advisory flags individual performance as ‘viewed more skeptically’), in-game live markets (single-actor manipulation risk), any sports contract if the Prediction Markets Are Gambling Act passes.</w:t>
      </w:r>
    </w:p>
    <w:p>
      <w:pPr>
        <w:spacing w:after="160" w:line="320"/>
      </w:pPr>
      <w:r>
        <w:rPr>
          <w:b/>
          <w:bCs/>
        </w:rPr>
        <w:t xml:space="preserve">Key regulatory references: </w:t>
      </w:r>
      <w:r>
        <w:t xml:space="preserve">CFTC Staff Advisory No. 26-08 (Mar 12, 2026), CFTC ANPRM on prediction markets (Mar 16, 2026, comments due Apr 30, 2026), Prediction Markets Are Gambling Act (Schiff/Curtis, Mar 2026), Arizona AG criminal charges against Kalshi (Mar 17, 2026), CFTC Enforcement Advisory on insider trading (Feb 2026).</w:t>
      </w:r>
    </w:p>
    <w:p>
      <w:pPr>
        <w:spacing w:after="120"/>
      </w:pPr>
      <w:r>
        <w:t xml:space="preserve"/>
      </w:r>
    </w:p>
    <w:p>
      <w:pPr>
        <w:pStyle w:val="Heading3"/>
      </w:pPr>
      <w:r>
        <w:t xml:space="preserve">Dimension 2: Wisdom-of-Crowds Value</w:t>
      </w:r>
    </w:p>
    <w:p>
      <w:pPr>
        <w:spacing w:after="160" w:line="320"/>
      </w:pPr>
      <w:r>
        <w:rPr>
          <w:b/>
          <w:bCs/>
        </w:rPr>
        <w:t xml:space="preserve">Question: </w:t>
      </w:r>
      <w:r>
        <w:t xml:space="preserve">Does a crowd-sourced probability for this outcome produce useful informational signal beyond what already exists?</w:t>
      </w:r>
    </w:p>
    <w:p>
      <w:pPr>
        <w:spacing w:after="160" w:line="320"/>
      </w:pPr>
      <w:r>
        <w:t xml:space="preserve">This dimension distinguishes markets that generate genuine forecasting value from markets that are purely entertainment or speculative products. Both types are commercially viable, but WoC-value markets have three advantages: they attract higher-information traders (who contribute to tighter spreads), they generate media citations and institutional attention, and they provide the strongest defense against the ‘just gambling’ criticism that regulators and legislators invoke.</w:t>
      </w:r>
    </w:p>
    <w:p>
      <w:pPr>
        <w:spacing w:after="160" w:line="320"/>
      </w:pPr>
      <w:r>
        <w:rPr>
          <w:b/>
          <w:bCs/>
        </w:rPr>
        <w:t xml:space="preserve">Scoring criteria:</w:t>
      </w:r>
    </w:p>
    <w:p>
      <w:pPr>
        <w:pStyle w:val="ListParagraph"/>
        <w:numPr>
          <w:ilvl w:val="0"/>
          <w:numId w:val="2"/>
        </w:numPr>
        <w:spacing w:after="80" w:line="300"/>
      </w:pPr>
      <w:r>
        <w:rPr>
          <w:b/>
          <w:bCs/>
        </w:rPr>
        <w:t xml:space="preserve">Information dispersion: </w:t>
      </w:r>
      <w:r>
        <w:t xml:space="preserve">Is relevant knowledge spread across many participants (political intelligence across thousands of local observers) or concentrated among a few insiders (a single athlete who knows if they’re injured)?</w:t>
      </w:r>
    </w:p>
    <w:p>
      <w:pPr>
        <w:pStyle w:val="ListParagraph"/>
        <w:numPr>
          <w:ilvl w:val="0"/>
          <w:numId w:val="3"/>
        </w:numPr>
        <w:spacing w:after="80" w:line="300"/>
      </w:pPr>
      <w:r>
        <w:rPr>
          <w:b/>
          <w:bCs/>
        </w:rPr>
        <w:t xml:space="preserve">Genuine uncertainty: </w:t>
      </w:r>
      <w:r>
        <w:t xml:space="preserve">Is the outcome truly uncertain, or do efficient existing markets already price it with deep liquidity and professional odds-making?</w:t>
      </w:r>
    </w:p>
    <w:p>
      <w:pPr>
        <w:pStyle w:val="ListParagraph"/>
        <w:numPr>
          <w:ilvl w:val="0"/>
          <w:numId w:val="4"/>
        </w:numPr>
        <w:spacing w:after="80" w:line="300"/>
      </w:pPr>
      <w:r>
        <w:rPr>
          <w:b/>
          <w:bCs/>
        </w:rPr>
        <w:t xml:space="preserve">Actionability: </w:t>
      </w:r>
      <w:r>
        <w:t xml:space="preserve">Can external actors—campaigns, portfolio managers, policymakers, healthcare planners—use the probability signal to make better real-world decisions?</w:t>
      </w:r>
    </w:p>
    <w:p>
      <w:pPr>
        <w:pStyle w:val="ListParagraph"/>
        <w:numPr>
          <w:ilvl w:val="0"/>
          <w:numId w:val="6"/>
        </w:numPr>
        <w:spacing w:after="80" w:line="300"/>
      </w:pPr>
      <w:r>
        <w:rPr>
          <w:b/>
          <w:bCs/>
        </w:rPr>
        <w:t xml:space="preserve">Absence of alternatives: </w:t>
      </w:r>
      <w:r>
        <w:t xml:space="preserve">Does an efficient existing mechanism already aggregate this information? Sportsbook odds, options markets, and polling averages all serve this function in their respective domains.</w:t>
      </w:r>
    </w:p>
    <w:p>
      <w:pPr>
        <w:spacing w:after="160" w:line="320"/>
      </w:pPr>
      <w:r>
        <w:rPr>
          <w:b/>
          <w:bCs/>
        </w:rPr>
        <w:t xml:space="preserve">Example application: </w:t>
      </w:r>
      <w:r>
        <w:t xml:space="preserve">A VP nominee prediction market scores high on all four criteria: political intelligence is dispersed across donors, operatives, and media (high dispersion); VP selection is genuinely uncertain until the announcement (genuine uncertainty); campaigns and media use VP speculation to assess ticket strength (actionable); and no existing financial instrument isolates VP selection probability (no alternative). By contrast, a per-game NBA player points over/under scores low: sportsbooks already price this with professional models, deep liquidity, and tight spreads, leaving little informational gap for a prediction market to fill.</w:t>
      </w:r>
    </w:p>
    <w:p>
      <w:pPr>
        <w:spacing w:after="120"/>
      </w:pPr>
      <w:r>
        <w:t xml:space="preserve"/>
      </w:r>
    </w:p>
    <w:p>
      <w:pPr>
        <w:pStyle w:val="Heading3"/>
      </w:pPr>
      <w:r>
        <w:t xml:space="preserve">Dimension 3: Estimated Attainable Volume</w:t>
      </w:r>
    </w:p>
    <w:p>
      <w:pPr>
        <w:spacing w:after="160" w:line="320"/>
      </w:pPr>
      <w:r>
        <w:rPr>
          <w:b/>
          <w:bCs/>
        </w:rPr>
        <w:t xml:space="preserve">Question: </w:t>
      </w:r>
      <w:r>
        <w:t xml:space="preserve">What is the realistic volume this market could generate based on comparable existing markets, traditional analogs, and audience size?</w:t>
      </w:r>
    </w:p>
    <w:p>
      <w:pPr>
        <w:spacing w:after="160" w:line="320"/>
      </w:pPr>
      <w:r>
        <w:t xml:space="preserve">Volume estimation requires a reference class. The most reliable method is to benchmark against existing Polymarket markets in similar categories and adjust for audience size and engagement intensity. The table below provides reference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Reference Market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Volume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Implication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Dem Nominee 2028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$922.9M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Ceiling for multi-month, high-salience political markets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Interest Rates aggregate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$538.4M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Ceiling for recurring financial event markets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Iran strikes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$127M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Ceiling for reactive geopolitical event markets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Culture aggregate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$149.1M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Ceiling for long-tail entertainment markets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Best AI model (monthly)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Benchmark for recurring tech/ranking markets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SCOTUS tariff ruling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$9M (cross-platform)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Benchmark for single high-profile legal outcome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Elon tweet count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$6-8M per window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Benchmark for quantified social media markets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Individual House race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$0-6K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Floor for thin, low-salience political markets</w:t>
            </w:r>
          </w:p>
        </w:tc>
      </w:tr>
    </w:tbl>
    <w:p>
      <w:pPr>
        <w:spacing w:after="160" w:line="320"/>
      </w:pPr>
      <w:r>
        <w:rPr>
          <w:b/>
          <w:bCs/>
        </w:rPr>
        <w:t xml:space="preserve">Cannibalization qualifier: </w:t>
      </w:r>
      <w:r>
        <w:t xml:space="preserve">Volume estimates should distinguish additive volume (new users or new trading activity) from redistributed volume (existing traders splitting attention across more markets). VP nominee markets are likely additive—they create a new tradeable surface that reinforces engagement with the larger presidential race. A 436th individual House race market is redistributive—it fragments existing midterm liquidity without expanding the overall pie. When estimating volume, note whether the estimate assumes primarily new or redistributed trading activity.</w:t>
      </w:r>
    </w:p>
    <w:p>
      <w:pPr>
        <w:spacing w:after="120"/>
      </w:pPr>
      <w:r>
        <w:t xml:space="preserve"/>
      </w:r>
    </w:p>
    <w:p>
      <w:pPr>
        <w:pStyle w:val="Heading3"/>
      </w:pPr>
      <w:r>
        <w:t xml:space="preserve">Dimension 4: Implementation Effort</w:t>
      </w:r>
    </w:p>
    <w:p>
      <w:pPr>
        <w:spacing w:after="160" w:line="320"/>
      </w:pPr>
      <w:r>
        <w:rPr>
          <w:b/>
          <w:bCs/>
        </w:rPr>
        <w:t xml:space="preserve">Question: </w:t>
      </w:r>
      <w:r>
        <w:t xml:space="preserve">How much operational work is required to create, monitor, and resolve this market?</w:t>
      </w:r>
    </w:p>
    <w:p>
      <w:pPr>
        <w:spacing w:after="160" w:line="320"/>
      </w:pPr>
      <w:r>
        <w:rPr>
          <w:b/>
          <w:bCs/>
        </w:rPr>
        <w:t xml:space="preserve">Scoring guidance:</w:t>
      </w:r>
    </w:p>
    <w:p>
      <w:pPr>
        <w:pStyle w:val="ListParagraph"/>
        <w:numPr>
          <w:ilvl w:val="0"/>
          <w:numId w:val="5"/>
        </w:numPr>
        <w:spacing w:after="80" w:line="300"/>
      </w:pPr>
      <w:r>
        <w:rPr>
          <w:b/>
          <w:bCs/>
        </w:rPr>
        <w:t xml:space="preserve">Low: </w:t>
      </w:r>
      <w:r>
        <w:t xml:space="preserve">Resolution source is a single authoritative URL (FDA.gov, certified election results, Freddie Mac PMMS). No new infrastructure needed. Market can use existing templates.</w:t>
      </w:r>
    </w:p>
    <w:p>
      <w:pPr>
        <w:pStyle w:val="ListParagraph"/>
        <w:numPr>
          <w:ilvl w:val="0"/>
          <w:numId w:val="5"/>
        </w:numPr>
        <w:spacing w:after="80" w:line="300"/>
      </w:pPr>
      <w:r>
        <w:rPr>
          <w:b/>
          <w:bCs/>
        </w:rPr>
        <w:t xml:space="preserve">Medium: </w:t>
      </w:r>
      <w:r>
        <w:t xml:space="preserve">Resolution requires monitoring multiple sources, establishing relationships with data providers, or building new tracking infrastructure (e.g., Truth Social post counter analogous to xtracker for Elon tweets).</w:t>
      </w:r>
    </w:p>
    <w:p>
      <w:pPr>
        <w:pStyle w:val="ListParagraph"/>
        <w:numPr>
          <w:ilvl w:val="0"/>
          <w:numId w:val="5"/>
        </w:numPr>
        <w:spacing w:after="80" w:line="300"/>
      </w:pPr>
      <w:r>
        <w:rPr>
          <w:b/>
          <w:bCs/>
        </w:rPr>
        <w:t xml:space="preserve">Hard: </w:t>
      </w:r>
      <w:r>
        <w:t xml:space="preserve">Resolution requires new partnerships (sports league data-sharing agreements), regulatory pre-clearance, or technically complex infrastructure (real-time in-game resolution, sub-minute price feeds).</w:t>
      </w:r>
    </w:p>
    <w:p>
      <w:pPr>
        <w:spacing w:after="120"/>
      </w:pPr>
      <w:r>
        <w:t xml:space="preserve"/>
      </w:r>
    </w:p>
    <w:p>
      <w:pPr>
        <w:pStyle w:val="Heading3"/>
      </w:pPr>
      <w:r>
        <w:t xml:space="preserve">Dimension 5: Resolution Source Quality (New)</w:t>
      </w:r>
    </w:p>
    <w:p>
      <w:pPr>
        <w:spacing w:after="160" w:line="320"/>
      </w:pPr>
      <w:r>
        <w:rPr>
          <w:b/>
          <w:bCs/>
        </w:rPr>
        <w:t xml:space="preserve">Question: </w:t>
      </w:r>
      <w:r>
        <w:t xml:space="preserve">How clean, authoritative, and unambiguous is the resolution mechanism?</w:t>
      </w:r>
    </w:p>
    <w:p>
      <w:pPr>
        <w:spacing w:after="160" w:line="320"/>
      </w:pPr>
      <w:r>
        <w:t xml:space="preserve">This dimension was absent from the initial Assessment Matrix and was identified as a gap during second-pass review. Resolution quality is arguably the single most important operational risk factor for a prediction market. The Titan submersible incident on Polymarket—where a dispute erupted over whether debris counted as the submarine being ‘found’—demonstrated how a poorly worded resolution criterion can damage platform credibility regardless of the market’s commercial success.</w:t>
      </w:r>
    </w:p>
    <w:p>
      <w:pPr>
        <w:spacing w:after="160" w:line="320"/>
      </w:pPr>
      <w:r>
        <w:rPr>
          <w:b/>
          <w:bCs/>
        </w:rPr>
        <w:t xml:space="preserve">Scoring criteria:</w:t>
      </w:r>
    </w:p>
    <w:p>
      <w:pPr>
        <w:pStyle w:val="ListParagraph"/>
        <w:numPr>
          <w:ilvl w:val="0"/>
          <w:numId w:val="5"/>
        </w:numPr>
        <w:spacing w:after="80" w:line="300"/>
      </w:pPr>
      <w:r>
        <w:rPr>
          <w:b/>
          <w:bCs/>
        </w:rPr>
        <w:t xml:space="preserve">Authoritative: </w:t>
      </w:r>
      <w:r>
        <w:t xml:space="preserve">Does the resolution source have official, uncontested authority? FDA.gov for drug approvals, certified state election results for political races, and NOAA for weather data are authoritative. A newspaper report, a social media post, or a contested data revision is not.</w:t>
      </w:r>
    </w:p>
    <w:p>
      <w:pPr>
        <w:pStyle w:val="ListParagraph"/>
        <w:numPr>
          <w:ilvl w:val="0"/>
          <w:numId w:val="5"/>
        </w:numPr>
        <w:spacing w:after="80" w:line="300"/>
      </w:pPr>
      <w:r>
        <w:rPr>
          <w:b/>
          <w:bCs/>
        </w:rPr>
        <w:t xml:space="preserve">Unambiguous: </w:t>
      </w:r>
      <w:r>
        <w:t xml:space="preserve">Does the resolution criterion admit only one interpretation? ‘Will the FDA approve Drug X by [PDUFA date]?’ is unambiguous. ‘Will the economy improve?’ is not. The test: could two reasonable people disagree about whether the resolution criterion has been met?</w:t>
      </w:r>
    </w:p>
    <w:p>
      <w:pPr>
        <w:pStyle w:val="ListParagraph"/>
        <w:numPr>
          <w:ilvl w:val="0"/>
          <w:numId w:val="5"/>
        </w:numPr>
        <w:spacing w:after="80" w:line="300"/>
      </w:pPr>
      <w:r>
        <w:rPr>
          <w:b/>
          <w:bCs/>
        </w:rPr>
        <w:t xml:space="preserve">Timely: </w:t>
      </w:r>
      <w:r>
        <w:t xml:space="preserve">Is the resolution data available within a reasonable window after the event? Election results are available on election night. GDP data is revised multiple times over months—which revision counts?</w:t>
      </w:r>
    </w:p>
    <w:p>
      <w:pPr>
        <w:pStyle w:val="ListParagraph"/>
        <w:numPr>
          <w:ilvl w:val="0"/>
          <w:numId w:val="5"/>
        </w:numPr>
        <w:spacing w:after="80" w:line="300"/>
      </w:pPr>
      <w:r>
        <w:rPr>
          <w:b/>
          <w:bCs/>
        </w:rPr>
        <w:t xml:space="preserve">Revision-resistant: </w:t>
      </w:r>
      <w:r>
        <w:t xml:space="preserve">Is the data subject to meaningful retroactive revision? Initial jobs reports are routinely revised by 50-100K. CPI and GDP undergo multiple revisions. Markets that resolve on initial releases should specify this clearly; markets that wait for final data face extended uncertainty.</w:t>
      </w:r>
    </w:p>
    <w:p>
      <w:pPr>
        <w:spacing w:after="160" w:line="320"/>
      </w:pPr>
      <w:r>
        <w:rPr>
          <w:b/>
          <w:bCs/>
        </w:rPr>
        <w:t xml:space="preserve">Example application: </w:t>
      </w:r>
      <w:r>
        <w:t xml:space="preserve">An FDA PDUFA market scores maximally on resolution quality: the FDA posts approval letters on FDA.gov on the decision date, the outcome is binary (approved / rejected / CRL), there is no revision process, and the data is available within hours. A ‘consumer confidence’ market scores lower: the University of Michigan releases preliminary and final readings that differ, the data is subject to seasonal adjustment methodology changes, and the resolution criterion must specify which release matters.</w:t>
      </w:r>
    </w:p>
    <w:p>
      <w:pPr>
        <w:spacing w:after="120"/>
      </w:pPr>
      <w:r>
        <w:t xml:space="preserve"/>
      </w:r>
    </w:p>
    <w:p>
      <w:pPr>
        <w:pStyle w:val="Heading3"/>
      </w:pPr>
      <w:r>
        <w:t xml:space="preserve">Dimension 6: Audience Expansion Potential (New)</w:t>
      </w:r>
    </w:p>
    <w:p>
      <w:pPr>
        <w:spacing w:after="160" w:line="320"/>
      </w:pPr>
      <w:r>
        <w:rPr>
          <w:b/>
          <w:bCs/>
        </w:rPr>
        <w:t xml:space="preserve">Question: </w:t>
      </w:r>
      <w:r>
        <w:t xml:space="preserve">Does this market primarily attract existing Polymarket users or genuinely new user segments?</w:t>
      </w:r>
    </w:p>
    <w:p>
      <w:pPr>
        <w:spacing w:after="160" w:line="320"/>
      </w:pPr>
      <w:r>
        <w:t xml:space="preserve">This dimension was also absent from the initial Assessment Matrix. It matters because new-user markets have compounding value: users acquired through one market category discover and trade in others, creating a cross-pollination effect that multiplies the return on market creation investment.</w:t>
      </w:r>
    </w:p>
    <w:p>
      <w:pPr>
        <w:spacing w:after="160" w:line="320"/>
      </w:pPr>
      <w:r>
        <w:rPr>
          <w:b/>
          <w:bCs/>
        </w:rPr>
        <w:t xml:space="preserve">Scoring guidance:</w:t>
      </w:r>
    </w:p>
    <w:p>
      <w:pPr>
        <w:pStyle w:val="ListParagraph"/>
        <w:numPr>
          <w:ilvl w:val="0"/>
          <w:numId w:val="5"/>
        </w:numPr>
        <w:spacing w:after="80" w:line="300"/>
      </w:pPr>
      <w:r>
        <w:rPr>
          <w:b/>
          <w:bCs/>
        </w:rPr>
        <w:t xml:space="preserve">Low expansion: </w:t>
      </w:r>
      <w:r>
        <w:t xml:space="preserve">The market primarily attracts existing Polymarket demographics (crypto-native traders, political junkies, sports bettors). Adding another altcoin price market or another NFL game falls here.</w:t>
      </w:r>
    </w:p>
    <w:p>
      <w:pPr>
        <w:pStyle w:val="ListParagraph"/>
        <w:numPr>
          <w:ilvl w:val="0"/>
          <w:numId w:val="5"/>
        </w:numPr>
        <w:spacing w:after="80" w:line="300"/>
      </w:pPr>
      <w:r>
        <w:rPr>
          <w:b/>
          <w:bCs/>
        </w:rPr>
        <w:t xml:space="preserve">Medium expansion: </w:t>
      </w:r>
      <w:r>
        <w:t xml:space="preserve">The market attracts an adjacent audience that partially overlaps with existing users. SCOTUS ruling markets attract politically engaged lawyers; some are already on Polymarket, some are not.</w:t>
      </w:r>
    </w:p>
    <w:p>
      <w:pPr>
        <w:pStyle w:val="ListParagraph"/>
        <w:numPr>
          <w:ilvl w:val="0"/>
          <w:numId w:val="5"/>
        </w:numPr>
        <w:spacing w:after="80" w:line="300"/>
      </w:pPr>
      <w:r>
        <w:rPr>
          <w:b/>
          <w:bCs/>
        </w:rPr>
        <w:t xml:space="preserve">High expansion: </w:t>
      </w:r>
      <w:r>
        <w:t xml:space="preserve">The market attracts a genuinely new user segment with little existing overlap. Health &amp; Biotech markets would bring in biotech traders and pharma investors who have no current reason to use Polymarket. Real estate markets aimed at homebuyers and mortgage shoppers would reach a mainstream audience far outside the platform’s crypto-native base.</w:t>
      </w:r>
    </w:p>
    <w:p>
      <w:pPr>
        <w:pStyle w:val="Heading2"/>
      </w:pPr>
      <w:r>
        <w:t xml:space="preserve">4.3 Scoring Template</w:t>
      </w:r>
    </w:p>
    <w:p>
      <w:pPr>
        <w:spacing w:after="160" w:line="320"/>
      </w:pPr>
      <w:r>
        <w:t xml:space="preserve">The following template can be applied to any proposed market. A market should generally score Low or Medium regulatory risk, Medium or High WoC value, and High resolution quality to proceed. Markets that score High on regulatory risk should only proceed if volume potential is substantial and the regulatory trajectory is improving.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Dimension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Score (L/M/H)</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Regulatory risk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Cite specific applicable regulations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Wisdom-of-crowds 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Assess all 4 criteria (dispersion, uncertainty, actionability, alternatives)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Estimated volume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Cite reference market and cannibalization qualifier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Implementation effort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Identify resolution source and infrastructure needs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Resolution source quality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Assess authority, ambiguity, timeliness, revision risk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Audience expansion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users, adjacent users, or existing users?</w:t>
            </w:r>
          </w:p>
        </w:tc>
      </w:tr>
    </w:tbl>
    <w:p>
      <w:pPr>
        <w:pStyle w:val="Heading2"/>
      </w:pPr>
      <w:r>
        <w:t xml:space="preserve">4.4 The Concentrate-or-Expand Decision</w:t>
      </w:r>
    </w:p>
    <w:p>
      <w:pPr>
        <w:spacing w:after="160" w:line="320"/>
      </w:pPr>
      <w:r>
        <w:t xml:space="preserve">Before creating a new market, the rubric should include one additional check: would the platform be better served by creating a new market, or by redesigning an existing one?</w:t>
      </w:r>
    </w:p>
    <w:p>
      <w:pPr>
        <w:spacing w:after="160" w:line="320"/>
      </w:pPr>
      <w:r>
        <w:t xml:space="preserve">The midterm elections provide the clearest example. Polymarket has 435 individual House race markets, each generating $0-6K. The problem is not that these markets are bad ideas; it is that the format—one market per race—fragments liquidity below the threshold where meaningful price discovery occurs. The solution is not 436 markets; it is a single ‘net seats gained or lost’ market that concentrates attention where media and campaigns already focus.</w:t>
      </w:r>
    </w:p>
    <w:p>
      <w:pPr>
        <w:spacing w:after="160" w:line="320"/>
      </w:pPr>
      <w:r>
        <w:rPr>
          <w:b/>
          <w:bCs/>
        </w:rPr>
        <w:t xml:space="preserve">Decision rule: </w:t>
      </w:r>
      <w:r>
        <w:t xml:space="preserve">If the proposed market addresses the same question as 5+ existing thin markets (&lt;$10K volume each), evaluate whether a single aggregated market would generate more total volume and more useful information than adding another thin market to the set. If yes, create the aggregate and consider consolidating the thin markets.</w:t>
      </w:r>
    </w:p>
    <w:p>
      <w:r>
        <w:br w:type="page"/>
      </w:r>
    </w:p>
    <w:p>
      <w:pPr>
        <w:pStyle w:val="Heading1"/>
      </w:pPr>
      <w:r>
        <w:t xml:space="preserve">5. Component 3: Signal Detection Layer</w:t>
      </w:r>
    </w:p>
    <w:p>
      <w:pPr>
        <w:pStyle w:val="Heading2"/>
      </w:pPr>
      <w:r>
        <w:t xml:space="preserve">5.1 Purpose</w:t>
      </w:r>
    </w:p>
    <w:p>
      <w:pPr>
        <w:spacing w:after="160" w:line="320"/>
      </w:pPr>
      <w:r>
        <w:t xml:space="preserve">The Signal Detection Layer is the monitoring component that surfaces expansion opportunities that are not on the Coverage Calendar—either because they are event-driven (breaking news), demand-driven (user behavior indicating unmet need), or competitor-driven (other platforms listing markets Polymarket doesn’t carry). This is the ‘eyes and ears’ component, but structured around specific signal types rather than generic media monitoring.</w:t>
      </w:r>
    </w:p>
    <w:p>
      <w:pPr>
        <w:spacing w:after="160" w:line="320"/>
      </w:pPr>
      <w:r>
        <w:t xml:space="preserve">An important design principle: signal detection should be optimized for specificity, not sensitivity. The goal is not to detect every possible topic that people are talking about; it is to detect topics that (a) involve a binary outcome, (b) feature genuine uncertainty, (c) will sustain interest for long enough to build liquidity, and (d) have a clean resolution source. Generic social media monitoring fails this specificity test—millions of topics trend daily, and the vast majority would make terrible prediction markets.</w:t>
      </w:r>
    </w:p>
    <w:p>
      <w:pPr>
        <w:pStyle w:val="Heading2"/>
      </w:pPr>
      <w:r>
        <w:t xml:space="preserve">5.2 Signal Category 1: Internal Platform Signals</w:t>
      </w:r>
    </w:p>
    <w:p>
      <w:pPr>
        <w:spacing w:after="160" w:line="320"/>
      </w:pPr>
      <w:r>
        <w:rPr>
          <w:b/>
          <w:bCs/>
        </w:rPr>
        <w:t xml:space="preserve">Source: </w:t>
      </w:r>
      <w:r>
        <w:t xml:space="preserve">Polymarket’s own search queries, page view analytics, user-submitted market requests, and deposit/withdrawal patterns.</w:t>
      </w:r>
    </w:p>
    <w:p>
      <w:pPr>
        <w:spacing w:after="160" w:line="320"/>
      </w:pPr>
      <w:r>
        <w:rPr>
          <w:b/>
          <w:bCs/>
        </w:rPr>
        <w:t xml:space="preserve">Why this matters: </w:t>
      </w:r>
      <w:r>
        <w:t xml:space="preserve">Internal platform data is the highest-signal, lowest-noise source available because it reflects revealed demand from existing users. A surge in searches for ‘hurricane’ in June signals that users are looking for hurricane markets and not finding them (or not finding the specific format they want). A market with high page views but low trading volume suggests that users are interested but the market design isn’t meeting their needs.</w:t>
      </w:r>
    </w:p>
    <w:p>
      <w:pPr>
        <w:spacing w:after="160" w:line="320"/>
      </w:pPr>
      <w:r>
        <w:rPr>
          <w:b/>
          <w:bCs/>
        </w:rPr>
        <w:t xml:space="preserve">Specific signals to monitor:</w:t>
      </w:r>
    </w:p>
    <w:p>
      <w:pPr>
        <w:pStyle w:val="ListParagraph"/>
        <w:numPr>
          <w:ilvl w:val="0"/>
          <w:numId w:val="5"/>
        </w:numPr>
        <w:spacing w:after="80" w:line="300"/>
      </w:pPr>
      <w:r>
        <w:rPr>
          <w:b/>
          <w:bCs/>
        </w:rPr>
        <w:t xml:space="preserve">Search queries without matching markets. </w:t>
      </w:r>
      <w:r>
        <w:t xml:space="preserve">If 500 users search for ‘bird flu’ in a week and there is no H5N1 market, that is a direct demand signal.</w:t>
      </w:r>
    </w:p>
    <w:p>
      <w:pPr>
        <w:pStyle w:val="ListParagraph"/>
        <w:numPr>
          <w:ilvl w:val="0"/>
          <w:numId w:val="5"/>
        </w:numPr>
        <w:spacing w:after="80" w:line="300"/>
      </w:pPr>
      <w:r>
        <w:rPr>
          <w:b/>
          <w:bCs/>
        </w:rPr>
        <w:t xml:space="preserve">Page view to volume ratio. </w:t>
      </w:r>
      <w:r>
        <w:t xml:space="preserve">A market with 10,000 page views and $500 in volume is attracting curiosity but not trading. This may indicate a design problem (unclear resolution, bad bracket sizing, insufficient liquidity seeding) rather than a demand problem.</w:t>
      </w:r>
    </w:p>
    <w:p>
      <w:pPr>
        <w:pStyle w:val="ListParagraph"/>
        <w:numPr>
          <w:ilvl w:val="0"/>
          <w:numId w:val="5"/>
        </w:numPr>
        <w:spacing w:after="80" w:line="300"/>
      </w:pPr>
      <w:r>
        <w:rPr>
          <w:b/>
          <w:bCs/>
        </w:rPr>
        <w:t xml:space="preserve">User-submitted market requests. </w:t>
      </w:r>
      <w:r>
        <w:t xml:space="preserve">Polymarket allows users to propose markets. Aggregate these requests by theme to identify sustained demand patterns rather than reacting to individual requests.</w:t>
      </w:r>
    </w:p>
    <w:p>
      <w:pPr>
        <w:pStyle w:val="ListParagraph"/>
        <w:numPr>
          <w:ilvl w:val="0"/>
          <w:numId w:val="5"/>
        </w:numPr>
        <w:spacing w:after="80" w:line="300"/>
      </w:pPr>
      <w:r>
        <w:rPr>
          <w:b/>
          <w:bCs/>
        </w:rPr>
        <w:t xml:space="preserve">Deposit patterns by category. </w:t>
      </w:r>
      <w:r>
        <w:t xml:space="preserve">Are new wallet deposits concentrated in users who primarily trade politics? Sports? Crypto? Shifts in deposit demographics signal changing platform composition and may indicate underserved segments.</w:t>
      </w:r>
    </w:p>
    <w:p>
      <w:pPr>
        <w:pStyle w:val="Heading2"/>
      </w:pPr>
      <w:r>
        <w:t xml:space="preserve">5.3 Signal Category 2: Financial Market Signals</w:t>
      </w:r>
    </w:p>
    <w:p>
      <w:pPr>
        <w:spacing w:after="160" w:line="320"/>
      </w:pPr>
      <w:r>
        <w:rPr>
          <w:b/>
          <w:bCs/>
        </w:rPr>
        <w:t xml:space="preserve">Source: </w:t>
      </w:r>
      <w:r>
        <w:t xml:space="preserve">Options markets, futures curves, volatility indices (VIX, MOVE), credit default swap spreads, and sector ETF flows.</w:t>
      </w:r>
    </w:p>
    <w:p>
      <w:pPr>
        <w:spacing w:after="160" w:line="320"/>
      </w:pPr>
      <w:r>
        <w:rPr>
          <w:b/>
          <w:bCs/>
        </w:rPr>
        <w:t xml:space="preserve">Why this matters: </w:t>
      </w:r>
      <w:r>
        <w:t xml:space="preserve">Unusual activity in traditional financial markets often indicates uncertain binary outcomes that prediction markets can address. A spike in biotech stock options activity around a PDUFA date signals that traders are positioning for a binary catalyst—if no Polymarket market exists for that PDUFA date, there is a clear opportunity.</w:t>
      </w:r>
    </w:p>
    <w:p>
      <w:pPr>
        <w:spacing w:after="160" w:line="320"/>
      </w:pPr>
      <w:r>
        <w:rPr>
          <w:b/>
          <w:bCs/>
        </w:rPr>
        <w:t xml:space="preserve">Specific signals to monitor:</w:t>
      </w:r>
    </w:p>
    <w:p>
      <w:pPr>
        <w:pStyle w:val="ListParagraph"/>
        <w:numPr>
          <w:ilvl w:val="0"/>
          <w:numId w:val="5"/>
        </w:numPr>
        <w:spacing w:after="80" w:line="300"/>
      </w:pPr>
      <w:r>
        <w:rPr>
          <w:b/>
          <w:bCs/>
        </w:rPr>
        <w:t xml:space="preserve">Options implied volatility spikes. </w:t>
      </w:r>
      <w:r>
        <w:t xml:space="preserve">A biotech company’s implied volatility spiking to 200%+ ahead of a PDUFA date confirms that the market views the outcome as genuinely uncertain—ideal for a prediction market.</w:t>
      </w:r>
    </w:p>
    <w:p>
      <w:pPr>
        <w:pStyle w:val="ListParagraph"/>
        <w:numPr>
          <w:ilvl w:val="0"/>
          <w:numId w:val="5"/>
        </w:numPr>
        <w:spacing w:after="80" w:line="300"/>
      </w:pPr>
      <w:r>
        <w:rPr>
          <w:b/>
          <w:bCs/>
        </w:rPr>
        <w:t xml:space="preserve">VIX/MOVE index spikes. </w:t>
      </w:r>
      <w:r>
        <w:t xml:space="preserve">Broad volatility spikes often correlate with geopolitical or policy uncertainty where prediction markets can isolate specific binary outcomes (e.g., ‘Will the Fed cut rates at the emergency meeting?’ during a market crash).</w:t>
      </w:r>
    </w:p>
    <w:p>
      <w:pPr>
        <w:pStyle w:val="ListParagraph"/>
        <w:numPr>
          <w:ilvl w:val="0"/>
          <w:numId w:val="5"/>
        </w:numPr>
        <w:spacing w:after="80" w:line="300"/>
      </w:pPr>
      <w:r>
        <w:rPr>
          <w:b/>
          <w:bCs/>
        </w:rPr>
        <w:t xml:space="preserve">CDS spread movements. </w:t>
      </w:r>
      <w:r>
        <w:t xml:space="preserve">Sovereign CDS spreads widening for a specific country can signal political instability or default risk—both fertile ground for prediction markets.</w:t>
      </w:r>
    </w:p>
    <w:p>
      <w:pPr>
        <w:pStyle w:val="Heading2"/>
      </w:pPr>
      <w:r>
        <w:t xml:space="preserve">5.4 Signal Category 3: Cross-Market Price Signals</w:t>
      </w:r>
    </w:p>
    <w:p>
      <w:pPr>
        <w:spacing w:after="160" w:line="320"/>
      </w:pPr>
      <w:r>
        <w:rPr>
          <w:b/>
          <w:bCs/>
        </w:rPr>
        <w:t xml:space="preserve">Source: </w:t>
      </w:r>
      <w:r>
        <w:t xml:space="preserve">Price movements in existing Polymarket markets that imply demand for derivative or adjacent markets.</w:t>
      </w:r>
    </w:p>
    <w:p>
      <w:pPr>
        <w:spacing w:after="160" w:line="320"/>
      </w:pPr>
      <w:r>
        <w:rPr>
          <w:b/>
          <w:bCs/>
        </w:rPr>
        <w:t xml:space="preserve">Why this matters: </w:t>
      </w:r>
      <w:r>
        <w:t xml:space="preserve">This is a signal source unique to Polymarket—no external platform can provide it. When the presidential nominee market moves 10% on VP selection rumors, that is a price-driven signal that a VP market should exist. When the shutdown market spikes, debt ceiling markets become relevant. When a tariff ruling market moves on SCOTUS oral argument analysis, per-decision tariff rate markets become relevant.</w:t>
      </w:r>
    </w:p>
    <w:p>
      <w:pPr>
        <w:spacing w:after="160" w:line="320"/>
      </w:pPr>
      <w:r>
        <w:t xml:space="preserve">This signal type directly addresses the structural derivatives failure mode. The platform’s own price data reveals which dimensions of uncertainty users are trading around, and markets can be created to isolate those specific dimensions.</w:t>
      </w:r>
    </w:p>
    <w:p>
      <w:pPr>
        <w:spacing w:after="160" w:line="320"/>
      </w:pPr>
      <w:r>
        <w:rPr>
          <w:b/>
          <w:bCs/>
        </w:rPr>
        <w:t xml:space="preserve">Specific signals to monitor:</w:t>
      </w:r>
    </w:p>
    <w:p>
      <w:pPr>
        <w:pStyle w:val="ListParagraph"/>
        <w:numPr>
          <w:ilvl w:val="0"/>
          <w:numId w:val="5"/>
        </w:numPr>
        <w:spacing w:after="80" w:line="300"/>
      </w:pPr>
      <w:r>
        <w:rPr>
          <w:b/>
          <w:bCs/>
        </w:rPr>
        <w:t xml:space="preserve">Causal drivers of large price movements. </w:t>
      </w:r>
      <w:r>
        <w:t xml:space="preserve">When a major market moves 5%+, identify the catalyst. If the catalyst is a related event that doesn’t have its own market, evaluate creating one.</w:t>
      </w:r>
    </w:p>
    <w:p>
      <w:pPr>
        <w:pStyle w:val="ListParagraph"/>
        <w:numPr>
          <w:ilvl w:val="0"/>
          <w:numId w:val="5"/>
        </w:numPr>
        <w:spacing w:after="80" w:line="300"/>
      </w:pPr>
      <w:r>
        <w:rPr>
          <w:b/>
          <w:bCs/>
        </w:rPr>
        <w:t xml:space="preserve">Comment section analysis. </w:t>
      </w:r>
      <w:r>
        <w:t xml:space="preserve">Polymarket market pages have active comment sections. Users frequently discuss related outcomes they wish they could trade. These comments are structured demand signals.</w:t>
      </w:r>
    </w:p>
    <w:p>
      <w:pPr>
        <w:pStyle w:val="ListParagraph"/>
        <w:numPr>
          <w:ilvl w:val="0"/>
          <w:numId w:val="5"/>
        </w:numPr>
        <w:spacing w:after="80" w:line="300"/>
      </w:pPr>
      <w:r>
        <w:rPr>
          <w:b/>
          <w:bCs/>
        </w:rPr>
        <w:t xml:space="preserve">Correlation between markets. </w:t>
      </w:r>
      <w:r>
        <w:t xml:space="preserve">If two markets consistently move together, investigate whether a third market (isolating the common driver) would attract its own volume.</w:t>
      </w:r>
    </w:p>
    <w:p>
      <w:pPr>
        <w:pStyle w:val="Heading2"/>
      </w:pPr>
      <w:r>
        <w:t xml:space="preserve">5.5 Signal Category 4: Competitor Intelligence</w:t>
      </w:r>
    </w:p>
    <w:p>
      <w:pPr>
        <w:spacing w:after="160" w:line="320"/>
      </w:pPr>
      <w:r>
        <w:rPr>
          <w:b/>
          <w:bCs/>
        </w:rPr>
        <w:t xml:space="preserve">Source: </w:t>
      </w:r>
      <w:r>
        <w:t xml:space="preserve">Market listings and volume data from Kalshi, Metaculus, Manifold Markets, PredictIt (if reactivated), and traditional sportsbooks (FanDuel, DraftKings, BetMGM).</w:t>
      </w:r>
    </w:p>
    <w:p>
      <w:pPr>
        <w:spacing w:after="160" w:line="320"/>
      </w:pPr>
      <w:r>
        <w:rPr>
          <w:b/>
          <w:bCs/>
        </w:rPr>
        <w:t xml:space="preserve">Why this matters: </w:t>
      </w:r>
      <w:r>
        <w:t xml:space="preserve">Competitor platform data is the second-highest-signal source after internal data because it represents market-validated demand. If Kalshi launches a PDUFA market and it generates $500K in volume in the first week, that is direct evidence that Polymarket should offer the same. If Metaculus has a popular question on AI regulation timelines with thousands of forecasters, that is a demand signal for a tradeable version on Polymarket.</w:t>
      </w:r>
    </w:p>
    <w:p>
      <w:pPr>
        <w:spacing w:after="160" w:line="320"/>
      </w:pPr>
      <w:r>
        <w:t xml:space="preserve">This is qualitatively different from social media or news monitoring because it reflects revealed preference: people have already chosen to put money (or reputation, on Metaculus/Manifold) behind their forecasts for these specific outcomes.</w:t>
      </w:r>
    </w:p>
    <w:p>
      <w:pPr>
        <w:spacing w:after="160" w:line="320"/>
      </w:pPr>
      <w:r>
        <w:rPr>
          <w:b/>
          <w:bCs/>
        </w:rPr>
        <w:t xml:space="preserve">Specific signals to monitor:</w:t>
      </w:r>
    </w:p>
    <w:p>
      <w:pPr>
        <w:pStyle w:val="ListParagraph"/>
        <w:numPr>
          <w:ilvl w:val="0"/>
          <w:numId w:val="5"/>
        </w:numPr>
        <w:spacing w:after="80" w:line="300"/>
      </w:pPr>
      <w:r>
        <w:rPr>
          <w:b/>
          <w:bCs/>
        </w:rPr>
        <w:t xml:space="preserve">New market categories on Kalshi. </w:t>
      </w:r>
      <w:r>
        <w:t xml:space="preserve">Kalshi already has a dedicated SCOTUS &amp; Courts category and has moved into weather derivatives. New category launches by Kalshi indicate market-validated demand. The question is not whether to copy, but whether to create a better version.</w:t>
      </w:r>
    </w:p>
    <w:p>
      <w:pPr>
        <w:pStyle w:val="ListParagraph"/>
        <w:numPr>
          <w:ilvl w:val="0"/>
          <w:numId w:val="5"/>
        </w:numPr>
        <w:spacing w:after="80" w:line="300"/>
      </w:pPr>
      <w:r>
        <w:rPr>
          <w:b/>
          <w:bCs/>
        </w:rPr>
        <w:t xml:space="preserve">Volume leaders on Kalshi. </w:t>
      </w:r>
      <w:r>
        <w:t xml:space="preserve">Kalshi’s highest-volume markets reveal which topics generate sustained trading interest beyond Polymarket’s existing coverage.</w:t>
      </w:r>
    </w:p>
    <w:p>
      <w:pPr>
        <w:pStyle w:val="ListParagraph"/>
        <w:numPr>
          <w:ilvl w:val="0"/>
          <w:numId w:val="5"/>
        </w:numPr>
        <w:spacing w:after="80" w:line="300"/>
      </w:pPr>
      <w:r>
        <w:rPr>
          <w:b/>
          <w:bCs/>
        </w:rPr>
        <w:t xml:space="preserve">Metaculus/Manifold popular questions. </w:t>
      </w:r>
      <w:r>
        <w:t xml:space="preserve">These platforms attract superforecasters and subject-matter experts. Questions that attract 1,000+ predictions indicate topics with genuine forecasting demand.</w:t>
      </w:r>
    </w:p>
    <w:p>
      <w:pPr>
        <w:pStyle w:val="ListParagraph"/>
        <w:numPr>
          <w:ilvl w:val="0"/>
          <w:numId w:val="5"/>
        </w:numPr>
        <w:spacing w:after="80" w:line="300"/>
      </w:pPr>
      <w:r>
        <w:rPr>
          <w:b/>
          <w:bCs/>
        </w:rPr>
        <w:t xml:space="preserve">Sportsbook line availability. </w:t>
      </w:r>
      <w:r>
        <w:t xml:space="preserve">If FanDuel offers NHL game lines and Polymarket doesn’t carry NHL at all, the sportsbook handle data quantifies exactly how much volume is being left on the table.</w:t>
      </w:r>
    </w:p>
    <w:p>
      <w:pPr>
        <w:pStyle w:val="Heading2"/>
      </w:pPr>
      <w:r>
        <w:t xml:space="preserve">5.6 Signal Category 5: Legislative and Regulatory Signals</w:t>
      </w:r>
    </w:p>
    <w:p>
      <w:pPr>
        <w:spacing w:after="160" w:line="320"/>
      </w:pPr>
      <w:r>
        <w:rPr>
          <w:b/>
          <w:bCs/>
        </w:rPr>
        <w:t xml:space="preserve">Source: </w:t>
      </w:r>
      <w:r>
        <w:t xml:space="preserve">Congress.gov bill tracker, Federal Register filings, CFTC/SEC/FDA dockets, state legislative trackers.</w:t>
      </w:r>
    </w:p>
    <w:p>
      <w:pPr>
        <w:spacing w:after="160" w:line="320"/>
      </w:pPr>
      <w:r>
        <w:rPr>
          <w:b/>
          <w:bCs/>
        </w:rPr>
        <w:t xml:space="preserve">Why this matters: </w:t>
      </w:r>
      <w:r>
        <w:t xml:space="preserve">Legislative and regulatory actions are among the cleanest prediction market candidates: they have binary outcomes (passed/failed, approved/rejected), official resolution sources (vote records, agency announcements), and known timelines (floor vote schedules, comment periods, PDUFA dates). They also tend to generate high wisdom-of-crowds value because legislative outcomes depend on whip counts, committee dynamics, and political calculations that are dispersed across many observers.</w:t>
      </w:r>
    </w:p>
    <w:p>
      <w:pPr>
        <w:spacing w:after="160" w:line="320"/>
      </w:pPr>
      <w:r>
        <w:rPr>
          <w:b/>
          <w:bCs/>
        </w:rPr>
        <w:t xml:space="preserve">Specific signals to monitor:</w:t>
      </w:r>
    </w:p>
    <w:p>
      <w:pPr>
        <w:pStyle w:val="ListParagraph"/>
        <w:numPr>
          <w:ilvl w:val="0"/>
          <w:numId w:val="5"/>
        </w:numPr>
        <w:spacing w:after="80" w:line="300"/>
      </w:pPr>
      <w:r>
        <w:rPr>
          <w:b/>
          <w:bCs/>
        </w:rPr>
        <w:t xml:space="preserve">Bills moving from committee to floor. </w:t>
      </w:r>
      <w:r>
        <w:t xml:space="preserve">A bill reported out of committee is far more likely to receive a vote than a bill languishing in committee. This stage transition is the appropriate trigger to evaluate a market.</w:t>
      </w:r>
    </w:p>
    <w:p>
      <w:pPr>
        <w:pStyle w:val="ListParagraph"/>
        <w:numPr>
          <w:ilvl w:val="0"/>
          <w:numId w:val="5"/>
        </w:numPr>
        <w:spacing w:after="80" w:line="300"/>
      </w:pPr>
      <w:r>
        <w:rPr>
          <w:b/>
          <w:bCs/>
        </w:rPr>
        <w:t xml:space="preserve">Regulatory comment period openings. </w:t>
      </w:r>
      <w:r>
        <w:t xml:space="preserve">When the CFTC opens an ANPRM with a 45-day comment period, the outcome of that rulemaking is uncertain and consequential. These are ideal market candidates, particularly for topics that affect Polymarket itself.</w:t>
      </w:r>
    </w:p>
    <w:p>
      <w:pPr>
        <w:pStyle w:val="ListParagraph"/>
        <w:numPr>
          <w:ilvl w:val="0"/>
          <w:numId w:val="5"/>
        </w:numPr>
        <w:spacing w:after="80" w:line="300"/>
      </w:pPr>
      <w:r>
        <w:rPr>
          <w:b/>
          <w:bCs/>
        </w:rPr>
        <w:t xml:space="preserve">Judicial calendar events. </w:t>
      </w:r>
      <w:r>
        <w:t xml:space="preserve">Oral arguments at SCOTUS or major circuit courts signal that a ruling is forthcoming. The window between oral argument and opinion is the ideal trading period.</w:t>
      </w:r>
    </w:p>
    <w:p>
      <w:pPr>
        <w:pStyle w:val="Heading2"/>
      </w:pPr>
      <w:r>
        <w:t xml:space="preserve">5.7 Signal Category 6: Media Intensity Signals</w:t>
      </w:r>
    </w:p>
    <w:p>
      <w:pPr>
        <w:spacing w:after="160" w:line="320"/>
      </w:pPr>
      <w:r>
        <w:rPr>
          <w:b/>
          <w:bCs/>
        </w:rPr>
        <w:t xml:space="preserve">Source: </w:t>
      </w:r>
      <w:r>
        <w:t xml:space="preserve">Major news outlets, editorial boards, wire services (AP, Reuters), Google Trends.</w:t>
      </w:r>
    </w:p>
    <w:p>
      <w:pPr>
        <w:spacing w:after="160" w:line="320"/>
      </w:pPr>
      <w:r>
        <w:rPr>
          <w:b/>
          <w:bCs/>
        </w:rPr>
        <w:t xml:space="preserve">Why this matters: </w:t>
      </w:r>
      <w:r>
        <w:t xml:space="preserve">Sustained media coverage of an uncertain outcome is a proxy for public attention—the raw fuel of prediction market volume. But the keyword is sustained. One-day viral moments (a celebrity gaffe, a meme) do not generate enough sustained interest to build market liquidity. The signal worth detecting is multi-day coverage of a genuinely uncertain binary outcome.</w:t>
      </w:r>
    </w:p>
    <w:p>
      <w:pPr>
        <w:spacing w:after="160" w:line="320"/>
      </w:pPr>
      <w:r>
        <w:rPr>
          <w:b/>
          <w:bCs/>
        </w:rPr>
        <w:t xml:space="preserve">The specificity filter: </w:t>
      </w:r>
      <w:r>
        <w:t xml:space="preserve">A topic is a good media-intensity signal for market creation when three conditions are met simultaneously: (1) coverage spans 3+ days across multiple outlets, (2) editorial disagreement exists about the outcome (editorials on both sides indicate genuine uncertainty), and (3) a clean binary framing is possible (‘Will X happen by Y date?’). Topics that meet conditions 1 and 2 but not 3 are interesting narratives, not prediction market candidates.</w:t>
      </w:r>
    </w:p>
    <w:p>
      <w:pPr>
        <w:pStyle w:val="Heading2"/>
      </w:pPr>
      <w:r>
        <w:t xml:space="preserve">5.8 Signal Category 7: Domain Community Signals</w:t>
      </w:r>
    </w:p>
    <w:p>
      <w:pPr>
        <w:spacing w:after="160" w:line="320"/>
      </w:pPr>
      <w:r>
        <w:rPr>
          <w:b/>
          <w:bCs/>
        </w:rPr>
        <w:t xml:space="preserve">Source: </w:t>
      </w:r>
      <w:r>
        <w:t xml:space="preserve">Category-specific expert communities, forums, and professional networks.</w:t>
      </w:r>
    </w:p>
    <w:p>
      <w:pPr>
        <w:spacing w:after="160" w:line="320"/>
      </w:pPr>
      <w:r>
        <w:rPr>
          <w:b/>
          <w:bCs/>
        </w:rPr>
        <w:t xml:space="preserve">Why this matters: </w:t>
      </w:r>
      <w:r>
        <w:t xml:space="preserve">Different Polymarket categories have fundamentally different expert communities, and the monitoring approach must be category-specific. Political prediction market opportunities surface in political consultant Twitter and campaign finance filings. Biotech opportunities surface in PDUFA tracking communities (BioPharmaChat, r/biotech). Sports opportunities surface among sharp bettors and analytics communities. Crypto opportunities surface on CT (crypto Twitter) and Telegram alpha groups.</w:t>
      </w:r>
    </w:p>
    <w:p>
      <w:pPr>
        <w:spacing w:after="160" w:line="320"/>
      </w:pPr>
      <w:r>
        <w:t xml:space="preserve">The value of domain community monitoring is that subject-matter experts identify nuances that generic media coverage misses. A biotech analyst may note that a specific Phase 3 trial’s interim data looks problematic, suggesting the PDUFA outcome is more uncertain than the market assumes. A political operative may detect a whip count shift in Congress before it’s reported. These early signals create market creation and market design opportunities.</w:t>
      </w:r>
    </w:p>
    <w:p>
      <w:pPr>
        <w:spacing w:after="160" w:line="320"/>
      </w:pPr>
      <w:r>
        <w:rPr>
          <w:b/>
          <w:bCs/>
        </w:rPr>
        <w:t xml:space="preserve">Domain-specific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Category</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Expert Communities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Signal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Politics/Elections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Political consultants on X, campaign finance trackers, polling analysts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Whip count shifts, internal polling leaks, endorsement patterns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Biotech/FDA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BioPharmaChat, r/biotech, PDUFA.bio, clinical trial registries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Safety signals, ADCOMM panel composition, FDA reviewer history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Sports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Sharp bettor accounts, analytics blogs, injury report specialists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Line movement patterns, injury intel, roster transaction timing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Crypto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CT (crypto Twitter), Telegram alpha groups, on-chain analysts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Token launch timing, governance proposals, protocol upgrades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Legal/SCOTUS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SCOTUSblog, legal scholars on X, law review feeds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Oral argument analysis, cert grant patterns, conference list signals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Macro/Economy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Fed watcher accounts, sell-side research, FOMC minutes analysis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Dot plot shifts, regional Fed president speeches, data revision patterns</w:t>
            </w:r>
          </w:p>
        </w:tc>
      </w:tr>
    </w:tbl>
    <w:p>
      <w:r>
        <w:br w:type="page"/>
      </w:r>
    </w:p>
    <w:p>
      <w:pPr>
        <w:pStyle w:val="Heading1"/>
      </w:pPr>
      <w:r>
        <w:t xml:space="preserve">6. Component 4: Rapid Response Protocol</w:t>
      </w:r>
    </w:p>
    <w:p>
      <w:pPr>
        <w:pStyle w:val="Heading2"/>
      </w:pPr>
      <w:r>
        <w:t xml:space="preserve">6.1 Purpose</w:t>
      </w:r>
    </w:p>
    <w:p>
      <w:pPr>
        <w:spacing w:after="160" w:line="320"/>
      </w:pPr>
      <w:r>
        <w:t xml:space="preserve">The Rapid Response Protocol is a lightweight decision tree for breaking events that require same-day or same-hour market creation. Unlike the Coverage Calendar (which plans months ahead) and the Signal Detection Layer (which surfaces opportunities over days), the Rapid Response Protocol handles events where speed is the competitive advantage.</w:t>
      </w:r>
    </w:p>
    <w:p>
      <w:pPr>
        <w:spacing w:after="160" w:line="320"/>
      </w:pPr>
      <w:r>
        <w:t xml:space="preserve">Polymarket’s track record demonstrates strong rapid-response capability—Iran strike markets, emergency shutdown markets, and surprise political developments have all appeared quickly after events broke. The purpose of formalizing a protocol is to provide a consistent, repeatable decision framework that any team member can apply under time pressure, ensuring that the quality of rapid-response markets remains high as the volume and variety of events increases.</w:t>
      </w:r>
    </w:p>
    <w:p>
      <w:pPr>
        <w:pStyle w:val="Heading2"/>
      </w:pPr>
      <w:r>
        <w:t xml:space="preserve">6.2 The Four-Gate Decision Tree</w:t>
      </w:r>
    </w:p>
    <w:p>
      <w:pPr>
        <w:spacing w:after="160" w:line="320"/>
      </w:pPr>
      <w:r>
        <w:t xml:space="preserve">A breaking event should pass through four gates before a market is created. All four must be satisfied:</w:t>
      </w:r>
    </w:p>
    <w:p>
      <w:pPr>
        <w:pStyle w:val="ListParagraph"/>
        <w:numPr>
          <w:ilvl w:val="0"/>
          <w:numId w:val="7"/>
        </w:numPr>
        <w:spacing w:after="80" w:line="300"/>
      </w:pPr>
      <w:r>
        <w:rPr>
          <w:b/>
          <w:bCs/>
        </w:rPr>
        <w:t xml:space="preserve">Binary outcome? </w:t>
      </w:r>
      <w:r>
        <w:t xml:space="preserve">Can the event be framed as a yes/no question with exactly two possible outcomes? If the event is multi-dimensional or open-ended, it may require multiple markets or may not be suitable for rapid deployment. Speed favors simplicity.</w:t>
      </w:r>
    </w:p>
    <w:p>
      <w:pPr>
        <w:pStyle w:val="ListParagraph"/>
        <w:numPr>
          <w:ilvl w:val="0"/>
          <w:numId w:val="7"/>
        </w:numPr>
        <w:spacing w:after="80" w:line="300"/>
      </w:pPr>
      <w:r>
        <w:rPr>
          <w:b/>
          <w:bCs/>
        </w:rPr>
        <w:t xml:space="preserve">Genuine uncertainty? </w:t>
      </w:r>
      <w:r>
        <w:t xml:space="preserve">Is the outcome truly uncertain as of right now? If credible reporting has already established the outcome (e.g., a strike has already happened, a bill has already been signed), a post-hoc market serves no informational purpose. The market must be created while the outcome is still unknown.</w:t>
      </w:r>
    </w:p>
    <w:p>
      <w:pPr>
        <w:pStyle w:val="ListParagraph"/>
        <w:numPr>
          <w:ilvl w:val="0"/>
          <w:numId w:val="7"/>
        </w:numPr>
        <w:spacing w:after="80" w:line="300"/>
      </w:pPr>
      <w:r>
        <w:rPr>
          <w:b/>
          <w:bCs/>
        </w:rPr>
        <w:t xml:space="preserve">Sustained interest? </w:t>
      </w:r>
      <w:r>
        <w:t xml:space="preserve">Will the topic sustain trading interest for at least 48 hours? One-day stories generate thin markets that peak at $5-10K and die. The test: will people still care about this outcome in two days? A government shutdown will sustain interest for weeks. A single-day news cycle will not. When in doubt, err toward creation—a thin market is better than a missed opportunity if the downside is just low volume rather than reputational risk.</w:t>
      </w:r>
    </w:p>
    <w:p>
      <w:pPr>
        <w:pStyle w:val="ListParagraph"/>
        <w:numPr>
          <w:ilvl w:val="0"/>
          <w:numId w:val="7"/>
        </w:numPr>
        <w:spacing w:after="80" w:line="300"/>
      </w:pPr>
      <w:r>
        <w:rPr>
          <w:b/>
          <w:bCs/>
        </w:rPr>
        <w:t xml:space="preserve">Clean resolution? </w:t>
      </w:r>
      <w:r>
        <w:t xml:space="preserve">Can the market be resolved using a single, authoritative source that will be available within a reasonable timeframe? For rapid deployment, the resolution source must be identifiable at the time of market creation—not figured out later. If the resolution source is unclear, ambiguous, or contested, slow down and route through the full Evaluation Rubric instead.</w:t>
      </w:r>
    </w:p>
    <w:p>
      <w:pPr>
        <w:pStyle w:val="Heading2"/>
      </w:pPr>
      <w:r>
        <w:t xml:space="preserve">6.3 Resolution Speed Classes</w:t>
      </w:r>
    </w:p>
    <w:p>
      <w:pPr>
        <w:spacing w:after="160" w:line="320"/>
      </w:pPr>
      <w:r>
        <w:t xml:space="preserve">Different event types require different response speeds. The following classification helps prioritize team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Speed Class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Response Time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Event Types</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Immediate (&lt;2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Within 2 hours of 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Military actions, major political surprises, natural disasters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Iran strike, Supreme Court emergency ruling, major earthquake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Same-day (&lt;12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Within 12 hours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Legislative developments, diplomatic events, major corporate announcements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Government shutdown begins, surprise resignation, major acquisition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Next-day (&lt;24 hrs)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Within 24 hours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Sustained crises, multi-day events, follow-on markets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Hurricane approaching landfall, prolonged diplomatic crisis, trial verdict watch</w:t>
            </w:r>
          </w:p>
        </w:tc>
      </w:tr>
    </w:tbl>
    <w:p>
      <w:pPr>
        <w:pStyle w:val="Heading2"/>
      </w:pPr>
      <w:r>
        <w:t xml:space="preserve">6.4 Post-Creation Review</w:t>
      </w:r>
    </w:p>
    <w:p>
      <w:pPr>
        <w:spacing w:after="160" w:line="320"/>
      </w:pPr>
      <w:r>
        <w:t xml:space="preserve">Markets created under the Rapid Response Protocol bypass the full Evaluation Rubric in the interest of speed. To compensate, every rapid-response market should undergo a 24-hour post-creation review:</w:t>
      </w:r>
    </w:p>
    <w:p>
      <w:pPr>
        <w:pStyle w:val="ListParagraph"/>
        <w:numPr>
          <w:ilvl w:val="0"/>
          <w:numId w:val="5"/>
        </w:numPr>
        <w:spacing w:after="80" w:line="300"/>
      </w:pPr>
      <w:r>
        <w:rPr>
          <w:b/>
          <w:bCs/>
        </w:rPr>
        <w:t xml:space="preserve">Resolution criteria review: </w:t>
      </w:r>
      <w:r>
        <w:t xml:space="preserve">Is the resolution language precise enough? Are edge cases addressed? If not, update the resolution criteria while the market is still young and trading volume is low.</w:t>
      </w:r>
    </w:p>
    <w:p>
      <w:pPr>
        <w:pStyle w:val="ListParagraph"/>
        <w:numPr>
          <w:ilvl w:val="0"/>
          <w:numId w:val="5"/>
        </w:numPr>
        <w:spacing w:after="80" w:line="300"/>
      </w:pPr>
      <w:r>
        <w:rPr>
          <w:b/>
          <w:bCs/>
        </w:rPr>
        <w:t xml:space="preserve">Derivative assessment: </w:t>
      </w:r>
      <w:r>
        <w:t xml:space="preserve">Does this event warrant additional markets? The initial rapid-response market captures the primary binary question, but related derivative markets (duration, magnitude, follow-on actions) may add significant value.</w:t>
      </w:r>
    </w:p>
    <w:p>
      <w:pPr>
        <w:pStyle w:val="ListParagraph"/>
        <w:numPr>
          <w:ilvl w:val="0"/>
          <w:numId w:val="5"/>
        </w:numPr>
        <w:spacing w:after="80" w:line="300"/>
      </w:pPr>
      <w:r>
        <w:rPr>
          <w:b/>
          <w:bCs/>
        </w:rPr>
        <w:t xml:space="preserve">Rubric scoring: </w:t>
      </w:r>
      <w:r>
        <w:t xml:space="preserve">Retroactively score the market on the full 6-dimension rubric. This creates a feedback loop that improves future rapid-response decisions.</w:t>
      </w:r>
    </w:p>
    <w:p>
      <w:r>
        <w:br w:type="page"/>
      </w:r>
    </w:p>
    <w:p>
      <w:pPr>
        <w:pStyle w:val="Heading1"/>
      </w:pPr>
      <w:r>
        <w:t xml:space="preserve">7. Bringing It Together</w:t>
      </w:r>
    </w:p>
    <w:p>
      <w:pPr>
        <w:pStyle w:val="Heading2"/>
      </w:pPr>
      <w:r>
        <w:t xml:space="preserve">7.1 How the Components Interact</w:t>
      </w:r>
    </w:p>
    <w:p>
      <w:pPr>
        <w:spacing w:after="160" w:line="320"/>
      </w:pPr>
      <w:r>
        <w:t xml:space="preserve">The four components form a pipeline from opportunity identification through market launch:</w:t>
      </w:r>
    </w:p>
    <w:p>
      <w:pPr>
        <w:pStyle w:val="ListParagraph"/>
        <w:numPr>
          <w:ilvl w:val="0"/>
          <w:numId w:val="5"/>
        </w:numPr>
        <w:spacing w:after="80" w:line="300"/>
      </w:pPr>
      <w:r>
        <w:rPr>
          <w:b/>
          <w:bCs/>
        </w:rPr>
        <w:t xml:space="preserve">Coverage Calendar </w:t>
      </w:r>
      <w:r>
        <w:t xml:space="preserve">surfaces known future events and schedules market creation in advance. Most high-value markets—PDUFA dates, FOMC meetings, election primaries, SCOTUS opinion days—are calendar-driven.</w:t>
      </w:r>
    </w:p>
    <w:p>
      <w:pPr>
        <w:pStyle w:val="ListParagraph"/>
        <w:numPr>
          <w:ilvl w:val="0"/>
          <w:numId w:val="5"/>
        </w:numPr>
        <w:spacing w:after="80" w:line="300"/>
      </w:pPr>
      <w:r>
        <w:rPr>
          <w:b/>
          <w:bCs/>
        </w:rPr>
        <w:t xml:space="preserve">Signal Detection Layer </w:t>
      </w:r>
      <w:r>
        <w:t xml:space="preserve">surfaces opportunities that are not on the calendar: emerging trends, unmet demand, competitor moves, and derivative opportunities implied by existing market activity.</w:t>
      </w:r>
    </w:p>
    <w:p>
      <w:pPr>
        <w:pStyle w:val="ListParagraph"/>
        <w:numPr>
          <w:ilvl w:val="0"/>
          <w:numId w:val="5"/>
        </w:numPr>
        <w:spacing w:after="80" w:line="300"/>
      </w:pPr>
      <w:r>
        <w:rPr>
          <w:b/>
          <w:bCs/>
        </w:rPr>
        <w:t xml:space="preserve">Evaluation Rubric </w:t>
      </w:r>
      <w:r>
        <w:t xml:space="preserve">scores all candidates from both sources on six standardized dimensions, providing a consistent quality gate regardless of how the candidate was identified.</w:t>
      </w:r>
    </w:p>
    <w:p>
      <w:pPr>
        <w:pStyle w:val="ListParagraph"/>
        <w:numPr>
          <w:ilvl w:val="0"/>
          <w:numId w:val="5"/>
        </w:numPr>
        <w:spacing w:after="80" w:line="300"/>
      </w:pPr>
      <w:r>
        <w:rPr>
          <w:b/>
          <w:bCs/>
        </w:rPr>
        <w:t xml:space="preserve">Rapid Response Protocol </w:t>
      </w:r>
      <w:r>
        <w:t xml:space="preserve">handles breaking events that bypass the standard pipeline, with a post-creation review loop that feeds learning back into the rubric.</w:t>
      </w:r>
    </w:p>
    <w:p>
      <w:pPr>
        <w:pStyle w:val="Heading2"/>
      </w:pPr>
      <w:r>
        <w:t xml:space="preserve">7.2 Expected Impact</w:t>
      </w:r>
    </w:p>
    <w:p>
      <w:pPr>
        <w:spacing w:after="160" w:line="320"/>
      </w:pPr>
      <w:r>
        <w:t xml:space="preserve">Based on the companion Gap Analysis and Assessment Matrix, implementing this framework would capture the following opportunity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800"/>
        <w:gridCol w:w="17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Opportunity Type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Source 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Estimated Annual Volume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Time Horizon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Political derivatives (VP, primaries, midterm aggregates, legislation)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Coverage Calendar + Rubric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$185-395M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Immediate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Health &amp; Biotech (PDUFA, ADCOMM, Phase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Coverage Calendar + Rubric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$50-150M/yr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6-12 months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Defensible sports (win totals, awards, season props)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Coverage Calendar + Competitor Intel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$70-160M/yr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Near-term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Structural navigation changes (Courts, Housing promotion)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Internal Platform Signals + Rubric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Multiplicative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Immediate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Reactive event markets (geopolitical, crisis, breaking news)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Signal Detection + Rapid 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Variable ($10-50M+/event)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Ongoing</w:t>
            </w:r>
          </w:p>
        </w:tc>
      </w:tr>
    </w:tbl>
    <w:p>
      <w:pPr>
        <w:pStyle w:val="Heading2"/>
      </w:pPr>
      <w:r>
        <w:t xml:space="preserve">7.3 What This Framework Does Not Do</w:t>
      </w:r>
    </w:p>
    <w:p>
      <w:pPr>
        <w:spacing w:after="160" w:line="320"/>
      </w:pPr>
      <w:r>
        <w:t xml:space="preserve">This framework is a process for identifying and evaluating market expansion opportunities. It is not a substitute for the legal, compliance, and regulatory analysis required before listing specific contracts. Each market that passes the Evaluation Rubric still requires review against applicable CFTC regulations, state-level gambling laws, and Polymarket’s internal compliance policies. The framework’s regulatory risk dimension provides an initial screen, but it is not legal advice.</w:t>
      </w:r>
    </w:p>
    <w:p>
      <w:pPr>
        <w:spacing w:after="160" w:line="320"/>
      </w:pPr>
      <w:r>
        <w:t xml:space="preserve">The framework also does not address market design (bracket sizing, tick increments, resolution timing, liquidity seeding strategies) or market lifecycle management (when to close a market, how to handle disputed resolutions, when to create successor markets). These are important operational questions that deserve their own analysis.</w:t>
      </w:r>
    </w:p>
    <w:p>
      <w:pPr>
        <w:spacing w:after="120"/>
      </w:pPr>
      <w:r>
        <w:t xml:space="preserve"/>
      </w:r>
    </w:p>
    <w:p>
      <w:pPr>
        <w:pStyle w:val="Heading1"/>
      </w:pPr>
      <w:r>
        <w:t xml:space="preserve">8. Conclusion</w:t>
      </w:r>
    </w:p>
    <w:p>
      <w:pPr>
        <w:spacing w:after="160" w:line="320"/>
      </w:pPr>
      <w:r>
        <w:t xml:space="preserve">The Market Intelligence and Expansion Framework proposes a systematic process for identifying three categories of opportunity that are easy to overlook even on a platform as comprehensive as Polymarket: structural derivatives of existing high-volume markets (such as VP nominee markets alongside $1.38B+ in presidential nominee trading), calendar-driven events that recur on known schedules across multiple domains (40+ PDUFA dates per year, 8 FOMC meetings, 60 SCOTUS cases per term), and liquidity concentration opportunities where fewer, better-designed markets may outperform a larger number of thinly traded ones.</w:t>
      </w:r>
    </w:p>
    <w:p>
      <w:pPr>
        <w:spacing w:after="160" w:line="320"/>
      </w:pPr>
      <w:r>
        <w:t xml:space="preserve">The framework addresses these opportunities with four components. The Coverage Calendar creates a forward-looking schedule of known-date binary events across all categories, ensuring that recurring opportunities are harvested systematically rather than noticed incidentally. The Signal Detection Layer monitors seven structured signal sources—from internal platform data and cross-market price movements to competitor intelligence and domain expert communities—to surface emerging opportunities that no calendar can predict. The Evaluation Rubric scores every candidate on six dimensions, including two (resolution source quality and audience expansion potential) that were identified during second-pass review as absent from the initial Assessment Matrix. The Rapid Response Protocol provides a lightweight four-gate decision tree for breaking events, with a post-creation review loop that feeds learning back into the rubric.</w:t>
      </w:r>
    </w:p>
    <w:p>
      <w:pPr>
        <w:spacing w:after="160" w:line="320"/>
      </w:pPr>
      <w:r>
        <w:t xml:space="preserve">Applied to the opportunity set identified in the companion research, this framework would systematically capture </w:t>
      </w:r>
      <w:r>
        <w:rPr>
          <w:b/>
          <w:bCs/>
        </w:rPr>
        <w:t xml:space="preserve">$185-395M in political derivatives, $50-150M/year in a genuinely new Health &amp; Biotech category, and $70-160M/year in defensible sports formats</w:t>
      </w:r>
      <w:r>
        <w:t xml:space="preserve">. Beyond these quantified opportunities, the Signal Detection Layer and Rapid Response Protocol ensure that the framework remains adaptive to the unpredictable events—geopolitical crises, surprise policy shifts, cultural moments—that have historically driven some of Polymarket’s highest-engagement markets. The goal is not to replace judgment with process, but to ensure that the process consistently surfaces the opportunities that judgment can then act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5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2026-03-29T15:59:57.060Z</dcterms:created>
  <dcterms:modified xsi:type="dcterms:W3CDTF">2026-03-29T15:59:57.060Z</dcterms:modified>
</cp:coreProperties>
</file>

<file path=docProps/custom.xml><?xml version="1.0" encoding="utf-8"?>
<Properties xmlns="http://schemas.openxmlformats.org/officeDocument/2006/custom-properties" xmlns:vt="http://schemas.openxmlformats.org/officeDocument/2006/docPropsVTypes"/>
</file>