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When Code Is Abundant: A Research Companion</w:t>
      </w:r>
    </w:p>
    <w:p>
      <w:pPr>
        <w:spacing w:after="200"/>
        <w:jc w:val="center"/>
      </w:pPr>
      <w:r>
        <w:rPr>
          <w:i/>
          <w:iCs/>
          <w:sz w:val="22"/>
          <w:szCs w:val="22"/>
        </w:rPr>
        <w:t xml:space="preserve">RDODI Stage 3 Document Render — code-abundance-rdodi v1.2.0</w:t>
      </w:r>
    </w:p>
    <w:p>
      <w:pPr>
        <w:spacing w:after="400"/>
        <w:jc w:val="center"/>
      </w:pPr>
      <w:r>
        <w:rPr>
          <w:color w:val="666666"/>
          <w:sz w:val="20"/>
          <w:szCs w:val="20"/>
        </w:rPr>
        <w:t xml:space="preserve">Includes mechanism-level theory (Theory of Constraints, Jevons paradox), a critical-analysis section, and a closing synthesis. Generated from code_abundance_document_v1_2_0.ttl, section-for-section, with no re-authoring of content.</w:t>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Architectural Pillar</w:t>
      </w:r>
    </w:p>
    <w:p>
      <w:pPr>
        <w:spacing w:after="200"/>
      </w:pPr>
      <w:r>
        <w:t xml:space="preserve">Staples (2026) argues that once code generation stops being the constraint, trust in what was generated has to be engineered into a platform rather than assumed of any one model. He decomposes this into four architectural capabilities, agent platform, execution, context and governance, and the ordering is not incidental: each depends on the one before it. An agent platform without machine-scale execution cannot act at volume; execution without durable context repeatedly reconstructs what a previous run already knew; context without governance is legible but unaccountable. The four subsections below examine each pillar against both Staples' own GitLab implementation and the independent evidence this research corpus found at Stripe, Spotify and Amplitude, because a pillar only one vendor's product satisfies is a product pitch, not an architectural claim, while a pillar that reappears independently at three unrelated organizations building for their own internal use is closer to evidence of a real structural requirement.</w:t>
      </w:r>
    </w:p>
    <w:p>
      <w:pPr>
        <w:pStyle w:val="Heading2"/>
      </w:pPr>
      <w:r>
        <w:t xml:space="preserve">Agent Platform Pillar</w:t>
      </w:r>
    </w:p>
    <w:p>
      <w:pPr>
        <w:spacing w:after="200"/>
      </w:pPr>
      <w:r>
        <w:t xml:space="preserve">The agent platform pillar is the capability to create, customize and operate agents an organization owns, on models and infrastructure it chooses, while remaining able to host agents built by other vendors. Staples (2026) is explicit about what ownership means operationally: a customer running Claude Code should retain the same enterprise context, identity and audit trail as any agent GitLab builds itself, a claim about interoperability, not merely about who wrote the agent's code. The independent evidence for this pillar is stronger than a single-vendor claim would be. Stripe's minions (Gray, 2026) are a homegrown system built specifically so the organization is not dependent on any external agent vendor for its highest-volume automated work; the system combines deterministic blueprint nodes, which Stripe controls completely, with agent loops for the parts of the task that benefit from model flexibility. That an organization with Stripe's engineering resources chose to build rather than buy is itself informative: it suggests the ownership property Staples describes is something sophisticated adopters actively select for, not merely a differentiator GitLab is marketing.</w:t>
      </w:r>
    </w:p>
    <w:p>
      <w:pPr>
        <w:pStyle w:val="Heading2"/>
      </w:pPr>
      <w:r>
        <w:t xml:space="preserve">Context Pillar</w:t>
      </w:r>
    </w:p>
    <w:p>
      <w:pPr>
        <w:spacing w:after="200"/>
      </w:pPr>
      <w:r>
        <w:t xml:space="preserve">The context pillar is a persistent, queryable picture of requirement, code, history, priority and constraint, so an agent can reason across relationships directly instead of reconstructing them through repeated, disconnected calls. Staples (2026) names GitLab Orbit as the concrete implementation, explicitly designed to be usable by third-party agents and not reserved for GitLab's own. The value of this pillar is easiest to see through its absence, and the research corpus for this report found a direct empirical case of that absence. At QCon London 2026, Spotify's Kelly-Fenton and Mitic reported that Honk's migration work was significantly easier across codebases using standardized pipeline frameworks and significantly harder where frameworks were inconsistent (Curtis, 2026), the same migration task, performed by the same agent, producing categorically different outcomes purely as a function of how much reconstructable context the surrounding codebase preserved. This is a stronger form of evidence for the context pillar than a vendor's architecture diagram: it is a controlled-by-circumstance comparison inside a single organization's own codebase, and the result runs in the direction the pillar predicts.</w:t>
      </w:r>
    </w:p>
    <w:p>
      <w:pPr>
        <w:pStyle w:val="Heading2"/>
      </w:pPr>
      <w:r>
        <w:t xml:space="preserve">Execution Pillar</w:t>
      </w:r>
    </w:p>
    <w:p>
      <w:pPr>
        <w:spacing w:after="200"/>
      </w:pPr>
      <w:r>
        <w:t xml:space="preserve">The execution pillar covers next-generation source control, artifact management and CI/CD capable of operating at machine rather than human scale. Staples (2026) reports GitLab's own rebuilt source control producing up to 50 times faster task execution in internal testing, by allowing an agent to retrieve only the slice of a repository a task actually requires rather than repeatedly cloning the whole. Amplitude's reported experience approaches the same pillar from the demand side rather than the supply side: pull-request cycle time and frontend CI duration are both reported to have fallen sharply once the pipeline itself was rebuilt, independent of any change to the underlying model (Staples, 2026). This report was only able to partially verify that specific claim. Amplitude's own published case study with Cursor (Cursor, 2026) confirms a three-times increase in weekly production commits and that 60 to 70 percent of low-risk pull requests merge without additional developer work, but it does not contain the specific cycle-time-in-hours figures Staples cites, and no other public Amplitude or Cursor material located during this research contained them either. The execution pillar's broader claim, that pipeline speed rather than model quality is usually the actual constraint, is independently corroborated by Amplitude's confirmed figures even where the single most specific number could not be traced to its source.</w:t>
      </w:r>
    </w:p>
    <w:p>
      <w:pPr>
        <w:pStyle w:val="Heading2"/>
      </w:pPr>
      <w:r>
        <w:t xml:space="preserve">Governance Pillar</w:t>
      </w:r>
    </w:p>
    <w:p>
      <w:pPr>
        <w:spacing w:after="200"/>
      </w:pPr>
      <w:r>
        <w:t xml:space="preserve">The governance pillar enforces boundaries around security, compliance, quality, identity and permissions, and gives people visibility into what an agent did and on what authority. Staples (2026) makes the strong claim that governance, not model capability, is now the binding constraint on how far autonomy can safely extend, reframing the adoption question away from whether the model is good enough and toward whether the organization can prove what happened. Stripe's own account of minions supports this reframing directly: agents combine open-ended reasoning with deterministic checks for git operations, linting and testing, execute inside isolated environments, and selectively run tests from a suite exceeding three million (Gray, 2026), none of which is a model capability, all of which is governance infrastructure built around the model. Whether this pillar is adequate in practice, rather than merely well-specified in principle, is a genuinely open question the trade press raised about GitLab's own concurrent conduct: independent commentary on GitLab's Act 2 restructuring, announced within the same period as the article, noted that GitLab's own letter denied being a cost-cutting exercise while describing using AI agents to automate the internal reviews and approvals employees previously performed, and used that same period to introduce consumption-based pricing for agent work (The Dev Loop, 2026; InfoWorld, 2026). A company simultaneously arguing governance is what makes autonomy safe, and restructuring its own workforce around automating the governance functions people used to perform, is not necessarily contradicting itself, but the tension is real enough to belong in an evaluation of the governance claim rather than being set aside.</w:t>
      </w:r>
    </w:p>
    <w:p>
      <w:pPr>
        <w:pStyle w:val="Heading1"/>
      </w:pPr>
      <w:r>
        <w:t xml:space="preserve">Critical Analysis and Conclusion</w:t>
      </w:r>
    </w:p>
    <w:p>
      <w:pPr>
        <w:spacing w:after="200"/>
      </w:pPr>
      <w:r>
        <w:t xml:space="preserve">The sections above document what Staples (2026) claims and what independent evidence corroborates or fails to corroborate about each specific mechanism. This section steps back from mechanism-by-mechanism verification to evaluate the article's central thesis as a whole: that engineering judgment does not become abundant even as implementation does, and that scarce human attention simply relocates upward toward architecture and exceptions. Two distinct lines of counter-evidence are examined, one about the direction of aggregate developer demand, one about what the article's own throughput metrics can and cannot show, before a closing synthesis states plainly which parts of the argument the evidence in this corpus supports, which parts remain underdetermined, and why.</w:t>
      </w:r>
    </w:p>
    <w:p>
      <w:pPr>
        <w:pStyle w:val="Heading2"/>
      </w:pPr>
      <w:r>
        <w:t xml:space="preserve">Developer Demand Critique</w:t>
      </w:r>
    </w:p>
    <w:p>
      <w:pPr>
        <w:spacing w:after="200"/>
      </w:pPr>
      <w:r>
        <w:t xml:space="preserve">Staples (2026) draws an explicit historical analogy to justify treating LLMs as continuous with prior abstractions in software's history: humans once programmed in machine instructions, assembly abstracted the machine, higher-level languages abstracted assembly, and nobody mourns hand-written assembly, each layer making one problem cheaper and exposing a bigger one behind it. The analogy is accurate as economic history, but Staples does not follow it to its most direct implication. Each earlier abstraction did reduce the specific skill required for the task it eliminated, yet aggregate programmer employment did not fall in the decades that followed any of them; by most accounts it rose, because cheaper software raised the ceiling on how much software organizations attempted to build, which in turn raised the total amount of integration, coordination and system-level complexity that needed managing. This is precisely the mechanism Jevons (1865) described in a different domain: a resource made more efficient to consume is not thereby consumed less in aggregate, because the lower unit cost expands the scope of activity built on top of it. If code generation is undergoing the same kind of abstraction event Staples says it is, the same historical pattern predicts rising demand for the people who can design, verify and hold together the larger, more complex systems that cheaper generation makes it rational to attempt, not a stable or shrinking population of developers whose judgment simply moves to a higher shelf. Staples' own case evidence is consistent with this reading more than with his own: Amplitude, Stripe and Spotify did not reduce their engineering headcount commitment when they adopted agents; each spent months of skilled engineering effort building the governance, context and execution infrastructure the earlier sections of this report describe. That infrastructure work is itself new engineering demand created by the abundance of code, not evidence that demand for engineers is holding flat while judgment relocates.</w:t>
      </w:r>
    </w:p>
    <w:p>
      <w:pPr>
        <w:pStyle w:val="Heading2"/>
      </w:pPr>
      <w:r>
        <w:t xml:space="preserve">Metric Validity and Selection Bias Critique</w:t>
      </w:r>
    </w:p>
    <w:p>
      <w:pPr>
        <w:spacing w:after="200"/>
      </w:pPr>
      <w:r>
        <w:t xml:space="preserve">Two separate methodological weaknesses limit how much the article's evidence can support its conclusions, and they compound each other. The first is a selection problem the article discloses but does not correct for: Staples (2026) states plainly that Stripe, Spotify and Amplitude are unusually capable engineering organizations whose experience should not be treated as proof every enterprise is about to work the same way, and then spends most of the remaining article generalizing enterprise-wide architectural prescriptions from exactly those three cases. Disclosing a bias is not the same as controlling for it; a reader is left to apply the caveat themselves, in a document whose whole second half assumes it does not apply. The second problem concerns what the reported metrics actually measure. Pull-request count, cycle time and CI duration are measures of pipeline throughput, how fast work moves through the system, not measures of whether the work was the right work. Amplitude's tripled pull-request volume alongside a falling bug count, from 715 to 319 per Staples' account, a figure this research corpus could not independently verify, is presented as evidence that higher volume need not mean lower quality, a defensible claim about defect rates specifically. It is not evidence that the additional volume of shipped changes solved problems that mattered to the business, generated revenue, or improved outcomes for users, because none of the cited metrics are outcome metrics. A team can ship three times as many correct, well-reviewed, fast-merging pull requests that collectively move a product no closer to what its customers need. The article's reframing of cost-per-accepted-change over cost-per-line-of-code is a genuine improvement in what gets measured, but accepted in that phrase still means passed review and merged, not shipped the right thing, and the distance between those two is exactly where this critique's concern sits.</w:t>
      </w:r>
    </w:p>
    <w:p>
      <w:pPr>
        <w:pStyle w:val="Heading2"/>
      </w:pPr>
      <w:r>
        <w:t xml:space="preserve">Synthesis and Implications</w:t>
      </w:r>
    </w:p>
    <w:p>
      <w:pPr>
        <w:spacing w:after="200"/>
      </w:pPr>
      <w:r>
        <w:t xml:space="preserve">Weighed against the evidence this research corpus was able to gather and verify, Staples' (2026) claims separate into three tiers rather than standing or falling together. The reframing from cost-per-line-of-code to cost-per-accepted-change, and the Theory-of-Constraints argument that speeding up generation alone does not speed up the whole system, are well-supported: every one of the three independently examined organizations invested substantial, separately-documented engineering effort in the CI, review, governance and context infrastructure surrounding generation, precisely where the theory predicts the bottleneck would move. The claim that governance rather than model capability is the binding constraint on autonomy is similarly well-evidenced at the level of individual organizations, most concretely in Stripe's deterministic-check architecture around its agent loops. Where the evidence runs against the article, or simply does not reach far enough to support it, is in the claim about aggregate consequences for developers and for what gets measured. The historical abstraction analogy Staples invokes, followed through rather than left at the anecdote, points toward rising rather than flat demand for engineering judgment, and the throughput metrics offered as evidence of quality are silent on whether the additional throughput was aimed at anything that mattered. For a practitioner or an organization deciding how much weight to place on this article, the practical implication is to adopt its infrastructure argument, measure cost per accepted change, invest in the surrounding pipeline before the model, while treating its claims about headcount and quality as separate, currently underdetermined questions that this article's own evidence does not settle.</w:t>
      </w:r>
    </w:p>
    <w:p>
      <w:pPr>
        <w:pStyle w:val="Heading1"/>
      </w:pPr>
      <w:r>
        <w:t xml:space="preserve">Development Mode</w:t>
      </w:r>
    </w:p>
    <w:p>
      <w:pPr>
        <w:spacing w:after="200"/>
      </w:pPr>
      <w:r>
        <w:t xml:space="preserve">Staples (2026) rejects the common framing of a single maturity curve running from traditional development to full autonomy, arguing instead that three modes will coexist for a long time because the deciding factor is not organizational sophistication but the specific properties of a given workload. He offers a practical, falsifiable diagnostic rather than a vague maturity label: can an agent make a useful change with the context already available to it; can that change be verified without a person reading every line; and if the change is wrong, does the system catch it, or must a person. A workload's answers to those three questions, not an organization's stated ambition, determine which mode it actually sits in, which is why a single large organization can simultaneously operate all three modes across different parts of its own codebase, as the following subsections show.</w:t>
      </w:r>
    </w:p>
    <w:p>
      <w:pPr>
        <w:pStyle w:val="Heading2"/>
      </w:pPr>
      <w:r>
        <w:t xml:space="preserve">Agentically Accelerated Mode</w:t>
      </w:r>
    </w:p>
    <w:p>
      <w:pPr>
        <w:spacing w:after="200"/>
      </w:pPr>
      <w:r>
        <w:t xml:space="preserve">Mode 2 keeps humans in control of the decision while agents assist with implementation, testing, migration, review, documentation and security analysis, and Staples (2026) claims this is where most enterprise development currently sits and where he expects the majority of near-term economic value to accrue. Amplitude's reported experience is the clearest documented instance of this mode in the research corpus: designers, product managers and marketers began producing pull requests directly, moving from essentially zero to roughly five percent of total PR volume, while humans continued to direct what got built and to evaluate whether the agent's output was acceptable (Cursor, 2026). This is Mode 2 rather than Mode 3 specifically because the diagnostic Staples proposes still resolves toward the human: the agent executes, but a person is still deciding what should be attempted and judging whether the result is right, even when that person is not a professional engineer. The mode's economic significance, on this account, is less about replacing developers than about widening who can occupy the direct and evaluate role Staples describes, a claim examined more critically under Builder Role below, where the evidentiary basis for how far that widening actually extends is assessed directly.</w:t>
      </w:r>
    </w:p>
    <w:p>
      <w:pPr>
        <w:pStyle w:val="Heading2"/>
      </w:pPr>
      <w:r>
        <w:t xml:space="preserve">Autonomous Mode</w:t>
      </w:r>
    </w:p>
    <w:p>
      <w:pPr>
        <w:spacing w:after="200"/>
      </w:pPr>
      <w:r>
        <w:t xml:space="preserve">Mode 3 has agents operating the implementation loop directly while humans supply intent, constraints and oversight rather than moment-to-moment direction, and Stripe's minions are the clearest documented instance of this mode in the research corpus: independent trade coverage reports minions merging roughly 1,300 pull requests per week that contain no human-written code at all, with human review occurring after the fact rather than during implementation (InfoQ, 2026). Staples (2026) is explicit that reaching Mode 3 for a given class of work depends on the governance and verification infrastructure discussed earlier in this report being in place first, autonomy is a property of the surrounding system, not of the model, and Stripe's own account of the deterministic checks, isolated execution environments and multi-million-test selective execution wrapped around its agent loops is direct, concrete support for that dependency claim. What distinguishes Mode 3 from a simple productivity multiplier is precisely that the review moves after the change ships rather than before it, a materially different risk posture than either Mode 1 or Mode 2, and one the article's own emphasis on governance as the binding constraint is best understood as addressing.</w:t>
      </w:r>
    </w:p>
    <w:p>
      <w:pPr>
        <w:pStyle w:val="Heading2"/>
      </w:pPr>
      <w:r>
        <w:t xml:space="preserve">Human-Controlled Legacy Mode</w:t>
      </w:r>
    </w:p>
    <w:p>
      <w:pPr>
        <w:spacing w:after="200"/>
      </w:pPr>
      <w:r>
        <w:t xml:space="preserve">Mode 1 covers systems whose dependencies are undocumented and whose operational knowledge still lives primarily in the people who maintain them, which Staples (2026) expects will remain largely human-controlled until those systems are retired or rewritten rather than modernized in place. No case in this research corpus documents an organization deliberately choosing to keep a system in this mode as a considered strategic decision; every instance found is better described as an unaddressed legacy burden than as a stable resting point. That absence is itself consistent with how Staples frames the mode: Mode 1 is presented as residual, the part of the estate agentic tooling has not yet reached, rather than as a destination any organization is aiming for. The practical risk this framing understates is that not yet reached can persist indefinitely if the context and governance infrastructure the other modes depend on is never built for a given system; Spotify's own experience with inconsistent pipeline frameworks, discussed under the Context Pillar above, is a concrete illustration of exactly the condition that keeps a codebase in Mode 1 rather than a temporary stop on the way out of it.</w:t>
      </w:r>
    </w:p>
    <w:p>
      <w:pPr>
        <w:pStyle w:val="Heading1"/>
      </w:pPr>
      <w:r>
        <w:t xml:space="preserve">Economic Reframing</w:t>
      </w:r>
    </w:p>
    <w:p>
      <w:pPr>
        <w:spacing w:after="200"/>
      </w:pPr>
      <w:r>
        <w:t xml:space="preserve">Staples (2026) argues that AI is not simply making programmers type faster; it is displacing the specific variable that organized software engineering as a discipline for roughly sixty years. Where cost and risk once concentrated almost entirely in the act of writing code, he argues that concentration is now moving to the act of trusting what was written. The two subsections below unpack this claim at the level of mechanism: what the sixty-year constraint actually was and why it produced the practices it did, and what economic unit Staples proposes to replace it with, including the two distinct theoretical frameworks, Goldratt's Theory of Constraints and the Jevons paradox, that bear on whether the reframing is complete or only partial.</w:t>
      </w:r>
    </w:p>
    <w:p>
      <w:pPr>
        <w:pStyle w:val="Heading2"/>
      </w:pPr>
      <w:r>
        <w:t xml:space="preserve">Code-Is-Precious Constraint</w:t>
      </w:r>
    </w:p>
    <w:p>
      <w:pPr>
        <w:spacing w:after="200"/>
      </w:pPr>
      <w:r>
        <w:t xml:space="preserve">For sixty years, Staples (2026) writes, software engineering organized itself around the premise that code is precious: expensive to produce because it requires scarce people capable of holding complex abstractions in their heads, and fragile because small mistakes compound into large failures. He traces much of the discipline's characteristic ceremony directly to this single constraint, code review, staged approval gates, the tolerance of accumulating technical debt because paying it down competes with producing new features, and the industry-wide premium placed on developer productivity as the scarce resource to protect. This is a genuinely explanatory claim rather than a merely descriptive one: it predicts that practices whose only purpose is protecting expensive-to-produce code should weaken precisely where production becomes cheap, which is testable against the evidence gathered in the Architectural Pillar sections above. Stripe running three million tests selectively rather than review-gating every change by hand, and Amplitude restructuring its entire CI pipeline once code volume stopped being the limiting factor, are both consistent with ceremony shifting away from protecting the code itself and toward protecting the process that verifies it, exactly the shift the constraint's removal would predict, addressed directly in the next section.</w:t>
      </w:r>
    </w:p>
    <w:p>
      <w:pPr>
        <w:pStyle w:val="Heading2"/>
      </w:pPr>
      <w:r>
        <w:t xml:space="preserve">Cost Per Accepted Change</w:t>
      </w:r>
    </w:p>
    <w:p>
      <w:pPr>
        <w:spacing w:after="200"/>
      </w:pPr>
      <w:r>
        <w:t xml:space="preserve">Staples (2026) proposes replacing cost-per-line-of-code with cost-per-accepted-change: a unit bundling generation, environment setup, context, verification, review, remediation and governance into a single measure of what a usable change actually costs an organization. The argument for why this reframing matters rests on Goldratt's Theory of Constraints (Goldratt, 1984), and the mechanism is worth stating precisely rather than merely citing. Goldratt's theory holds that any system pursuing a goal has, at any given time, exactly one binding constraint, one step whose limited capacity caps the throughput of the entire system, and prescribes five focusing steps: identify the constraint, exploit it fully before investing elsewhere, subordinate every other part of the system to that exploitation, elevate the constraint's capacity only after the first two steps are exhausted, and then repeat the cycle because a new constraint will have emerged elsewhere. Applied here, if code generation was the binding constraint, making it ten times faster should make the whole system roughly ten times faster. Staples' claim, and the reason he insists on cost-per-accepted-change rather than cost-per-line, is that generation was not the true constraint even before AI, or at minimum stops being it the moment generation gets cheap, so speeding it up simply exposes and relocates the bottleneck to whichever step was actually binding, which his case evidence identifies as review, verification and governance. A second, independent theoretical lens is worth applying to the same claim, because it points toward a complication Staples does not address. Jevons (1865) observed that improving the efficiency with which a resource is consumed does not reliably reduce aggregate consumption of that resource, it can instead lower the effective price of using it and thereby increase the total scale of activity built on top of it, a mechanism since generalized well beyond the coal industry Jevons studied. If cheaper code generation behaves the way Jevons' paradox predicts rather than the way a simple constraint-relocation model predicts, the consequence is not that cost moves from generation to review at a fixed total volume of work, but that the volume of work attempted expands to fill the newly cheap capacity, a distinction this report returns to directly in the Critical Analysis and Conclusion section, because the article's own case evidence does not fully resolve which of the two dynamics is actually occurring.</w:t>
      </w:r>
    </w:p>
    <w:p>
      <w:pPr>
        <w:pStyle w:val="Heading1"/>
      </w:pPr>
      <w:r>
        <w:t xml:space="preserve">Industry Implementation</w:t>
      </w:r>
    </w:p>
    <w:p>
      <w:pPr>
        <w:spacing w:after="200"/>
      </w:pPr>
      <w:r>
        <w:t xml:space="preserve">Staples (2026) anchors his argument in four concrete, named systems: an open format for agent context, and three organizations' production coding agents. These are not illustrative anecdotes incidental to the argument; they are the entire evidentiary basis for the article's claims about what the four architectural pillars look like in practice, which makes their individual reliability and representativeness directly consequential for how much weight the article's conclusions can bear. Each is documented below against every independent source this research corpus was able to verify, including the one figure Staples (2026) cites that could not be independently confirmed by any public Amplitude or Cursor material located during this research, disclosed rather than silently smoothed over, per the Stage 1 reference rule this report was built under.</w:t>
      </w:r>
    </w:p>
    <w:p>
      <w:pPr>
        <w:pStyle w:val="Heading2"/>
      </w:pPr>
      <w:r>
        <w:t xml:space="preserve">AGENTS.md Format</w:t>
      </w:r>
    </w:p>
    <w:p>
      <w:pPr>
        <w:spacing w:after="200"/>
      </w:pPr>
      <w:r>
        <w:t xml:space="preserve">AGENTS.md is an open, vendor-neutral format for providing project instructions and operating context to coding agents. Staples (2026) cites GitLab's support for it as a concrete instance of a broader principle he states directly: an organization's accumulated operating knowledge should remain portable if the organization later changes models, agents or vendors, and the underlying principle of portability matters more than which specific file or format carries it. The format is a small piece of evidence relative to the article's larger claims, but it is evidence of a coherent kind: a company arguing for durable, vendor-neutral organizational context adopting an actual open standard for exactly that purpose, rather than only asserting the value of portability in the abstract while building closed, proprietary context stores.</w:t>
      </w:r>
    </w:p>
    <w:p>
      <w:pPr>
        <w:pStyle w:val="Heading2"/>
      </w:pPr>
      <w:r>
        <w:t xml:space="preserve">GitLab Duo Agent Platform</w:t>
      </w:r>
    </w:p>
    <w:p>
      <w:pPr>
        <w:spacing w:after="200"/>
      </w:pPr>
      <w:r>
        <w:t xml:space="preserve">GitLab Duo Agent Platform is GitLab's own platform for creating, customizing and operating agents around an organization's workflows and expertise, letting customers choose the underlying models and infrastructure rather than being locked to GitLab's own. Staples (2026) presents it as the concrete implementation of the Agent Platform pillar described earlier in this report. Unlike the three preceding industry cases, this one is not independent evidence for the article's claims, it is GitLab's own commercial product, described by GitLab's own CEO, in an article published on GitLab's own blog. That does not make the description false, but it does change what kind of evidence it is: independent trade coverage of GitLab's concurrent Act 2 restructuring notes that the same period saw GitLab introduce consumption-based pricing for agent work (InfoWorld, 2026), meaning the architectural vision this section describes is also the vision GitLab has a direct commercial stake in customers adopting. Readers evaluating how much weight to place on the Agent Platform pillar specifically should weigh this section differently than the Minions and Honk sections, which describe systems built by organizations with no comparable stake in the answer.</w:t>
      </w:r>
    </w:p>
    <w:p>
      <w:pPr>
        <w:pStyle w:val="Heading2"/>
      </w:pPr>
      <w:r>
        <w:t xml:space="preserve">Honk (Spotify)</w:t>
      </w:r>
    </w:p>
    <w:p>
      <w:pPr>
        <w:spacing w:after="200"/>
      </w:pPr>
      <w:r>
        <w:t xml:space="preserve">Honk is Spotify's background coding agent for continuous, large-scale code migration, and it is the report's clearest evidence for the article's context-pillar claim specifically because Spotify built it to solve a problem its own prior tooling could not. Staples (2026) documents more than 1,500 AI-generated pull requests merged into production; independent reporting from Spotify's QCon London 2026 talk gives a throughput figure of roughly 1,000 merged pull requests every 10 days and states directly that Honk was built to handle the long tail of migration edge cases that Spotify's earlier deterministic scripts could not resolve (Curtis, 2026). That detail matters more than the raw throughput number: it establishes that Honk was not adopted as a general-purpose accelerant layered on top of working tooling, but as a targeted response to a specific, previously unsolved class of problem, migrations where every attempted deterministic rule eventually met an exception it could not handle. The QCon talk's finding that migration difficulty tracked codebase framework consistency, discussed under the Context Pillar above, was discovered through this same deployment, which makes Honk simultaneously the article's evidence for the industry-implementation claim and this report's independent evidence for a mechanism, context consistency, that the article asserts but does not itself demonstrate as directly.</w:t>
      </w:r>
    </w:p>
    <w:p>
      <w:pPr>
        <w:pStyle w:val="Heading2"/>
      </w:pPr>
      <w:r>
        <w:t xml:space="preserve">Minions (Stripe)</w:t>
      </w:r>
    </w:p>
    <w:p>
      <w:pPr>
        <w:spacing w:after="200"/>
      </w:pPr>
      <w:r>
        <w:t xml:space="preserve">Minions are Stripe's homegrown, unattended coding agents, and they are the single most load-bearing piece of evidence in this report for the article's governance and autonomy claims. Stripe's own engineering blog describes them as responsible for more than a thousand pull requests merged weekly, with humans reviewing the output but not writing the underlying code (Gray, 2026); independent trade coverage later reported the figure at roughly 1,300 per week (InfoQ, 2026), a rise this report treats as evidence of continued scaling rather than as a discrepancy to reconcile. Architecturally, the system combines deterministic blueprint nodes, fixed, predictable operations Stripe controls completely, with agent loops for the portions of a task that benefit from model reasoning, running inside isolated devbox environments and selectively executing tests drawn from a suite exceeding three million. Staples (2026) reads this as evidence that reliability at production scale comes from the infrastructure built around a model, not from the model's own capability, and the architecture Stripe actually describes is a more specific and more falsifiable version of that claim than the article's prose alone conveys: it names exactly which parts of the pipeline are deterministic and which are left to agent judgment, the kind of design decision an organization only makes after direct experience with where model judgment is and is not trustworthy.</w:t>
      </w:r>
    </w:p>
    <w:p>
      <w:pPr>
        <w:pStyle w:val="Heading1"/>
      </w:pPr>
      <w:r>
        <w:t xml:space="preserve">Lifecycle Model</w:t>
      </w:r>
    </w:p>
    <w:p>
      <w:pPr>
        <w:spacing w:after="200"/>
      </w:pPr>
      <w:r>
        <w:t xml:space="preserve">Staples (2026) argues that as AI compresses the traditional plan-build-test-secure-deploy-operate sequence into continuous agentic loops, the boundary between developing software and developing the product itself begins to blur, and proposes a single named successor model for what replaces the conventional SDLC. The subsection below examines that proposal specifically against a contemporaneous, independently authored alternative published within days of the article, because the degree to which two independent parties converge on similar structure from different starting points is itself evidence about whether the underlying shift is real or is one vendor's particular framing of it.</w:t>
      </w:r>
    </w:p>
    <w:p>
      <w:pPr>
        <w:pStyle w:val="Heading2"/>
      </w:pPr>
      <w:r>
        <w:t xml:space="preserve">Product Development Lifecycle</w:t>
      </w:r>
    </w:p>
    <w:p>
      <w:pPr>
        <w:spacing w:after="200"/>
      </w:pPr>
      <w:r>
        <w:t xml:space="preserve">Staples (2026) proposes the Product Development Lifecycle, or PDLC, as the SDLC's successor: business intent enters the system, agents turn it into software, verification and governance determine what may proceed, and production results feed back into the next decision, closing a loop the traditional linear SDLC never had. He positions this explicitly against Anthropic's AI-Native SDLC Playbook, published three days before his own article, which reorganizes the same six traditional stages, plan, design, build, test, deploy, maintain, around versioned, machine-readable Markdown artifacts passed between stages rather than discarding the stage concept outright (Claxton, 2026). The convergence is informative precisely because the two proposals differ in emphasis without disagreeing on substance: Anthropic's playbook is more conservative, keeping recognizable stage boundaries but making the handoffs between them machine-executable, while Staples' PDLC is more radical, treating the whole sequence as one continuous loop with no discrete stage boundaries at all. That two organizations building competing products, working independently and publishing within the same week, converged on continuous, artifact-driven loop as the right successor to the linear SDLC is stronger evidence that something real is shifting in how software gets built than either proposal would be alone, though it says nothing about which specific vocabulary, PDLC or the six-stage playbook, will actually be the one practitioners adopt.</w:t>
      </w:r>
    </w:p>
    <w:p>
      <w:pPr>
        <w:pStyle w:val="Heading1"/>
      </w:pPr>
      <w:r>
        <w:t xml:space="preserve">Organizational Role</w:t>
      </w:r>
    </w:p>
    <w:p>
      <w:pPr>
        <w:spacing w:after="200"/>
      </w:pPr>
      <w:r>
        <w:t xml:space="preserve">As implementation gets cheaper, Staples (2026) argues, the boundary between deciding what to build and building it starts to collapse, and proposes a broadened role for the people who do that work rather than assuming the role of developer simply disappears or shrinks. The subsection below examines both the proposed role and the specific, narrow evidentiary basis Staples offers for it, because the strength of a structural claim about who builds software should be judged against how much data actually supports it.</w:t>
      </w:r>
    </w:p>
    <w:p>
      <w:pPr>
        <w:pStyle w:val="Heading2"/>
      </w:pPr>
      <w:r>
        <w:t xml:space="preserve">Builder Role</w:t>
      </w:r>
    </w:p>
    <w:p>
      <w:pPr>
        <w:spacing w:after="200"/>
      </w:pPr>
      <w:r>
        <w:t xml:space="preserve">Staples (2026) proposes Builder as a role covering anyone, engineer, designer, product manager, security expert, marketer or domain expert, who can express intent, direct agents, evaluate results and turn an idea into working software, explicitly broader than the traditional software-engineer job title. The evidence offered for this claim is a single statistic from a single organization: designers, product managers and marketers at Amplitude went from essentially zero pull requests to roughly five percent after Amplitude improved its development setup, validation and review (Cursor, 2026). Five percent, concentrated in what the same source describes as the lowest-risk category of change, is real evidence that the Builder role exists in some form, but it is a narrow basis for the scale of structural claim built on top of it, the article moves from this one data point directly to language about the boundary between deciding and building collapsing generally, a considerably larger claim than a small fraction of low-risk changes at one well-resourced company now come from non-engineers. Staples is careful to add the qualifying claim that engineering judgment does not become abundant merely because implementation does, and that scarce attention moves upward toward architecture and difficult exceptions rather than disappearing, a claim this report's Developer Demand Critique section addresses directly, including a competing reading the article's own historical analogy supports at least as well.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2026-08-27T09:26:47.813Z</dcterms:created>
  <dcterms:modified xsi:type="dcterms:W3CDTF">2026-08-27T09:26:47.824Z</dcterms:modified>
</cp:coreProperties>
</file>

<file path=docProps/custom.xml><?xml version="1.0" encoding="utf-8"?>
<Properties xmlns="http://schemas.openxmlformats.org/officeDocument/2006/custom-properties" xmlns:vt="http://schemas.openxmlformats.org/officeDocument/2006/docPropsVTypes"/>
</file>