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9DD78" w14:textId="77777777" w:rsidR="002D0E99" w:rsidRDefault="002D0E99">
      <w:pPr>
        <w:spacing w:after="600"/>
      </w:pPr>
    </w:p>
    <w:p w14:paraId="6D3229BF" w14:textId="77777777" w:rsidR="002D0E99" w:rsidRDefault="000D329E">
      <w:pPr>
        <w:spacing w:after="200"/>
        <w:jc w:val="center"/>
      </w:pPr>
      <w:r>
        <w:rPr>
          <w:rFonts w:ascii="Arial" w:eastAsia="Arial" w:hAnsi="Arial" w:cs="Arial"/>
          <w:b/>
          <w:bCs/>
          <w:sz w:val="32"/>
          <w:szCs w:val="32"/>
        </w:rPr>
        <w:t>ISTANBUL KÜLTÜR UNIVERSITY</w:t>
      </w:r>
    </w:p>
    <w:p w14:paraId="38786678" w14:textId="77777777" w:rsidR="002D0E99" w:rsidRDefault="000D329E">
      <w:pPr>
        <w:spacing w:after="200"/>
        <w:jc w:val="center"/>
      </w:pPr>
      <w:r>
        <w:rPr>
          <w:rFonts w:ascii="Arial" w:eastAsia="Arial" w:hAnsi="Arial" w:cs="Arial"/>
          <w:sz w:val="28"/>
          <w:szCs w:val="28"/>
        </w:rPr>
        <w:t>Faculty of Engineering</w:t>
      </w:r>
    </w:p>
    <w:p w14:paraId="7DFFDA96" w14:textId="77777777" w:rsidR="002D0E99" w:rsidRDefault="000D329E">
      <w:pPr>
        <w:spacing w:after="400"/>
        <w:jc w:val="center"/>
      </w:pPr>
      <w:r>
        <w:rPr>
          <w:rFonts w:ascii="Arial" w:eastAsia="Arial" w:hAnsi="Arial" w:cs="Arial"/>
          <w:sz w:val="28"/>
          <w:szCs w:val="28"/>
        </w:rPr>
        <w:t>Department of Computer Engineering</w:t>
      </w:r>
    </w:p>
    <w:p w14:paraId="5B71BA41" w14:textId="77777777" w:rsidR="002D0E99" w:rsidRDefault="002D0E99">
      <w:pPr>
        <w:spacing w:after="600"/>
      </w:pPr>
    </w:p>
    <w:p w14:paraId="350342EE" w14:textId="77777777" w:rsidR="002D0E99" w:rsidRDefault="000D329E">
      <w:pPr>
        <w:spacing w:after="200"/>
        <w:jc w:val="center"/>
      </w:pPr>
      <w:r>
        <w:rPr>
          <w:rFonts w:ascii="Arial" w:eastAsia="Arial" w:hAnsi="Arial" w:cs="Arial"/>
          <w:b/>
          <w:bCs/>
          <w:sz w:val="28"/>
          <w:szCs w:val="28"/>
        </w:rPr>
        <w:t>SEN0401</w:t>
      </w:r>
    </w:p>
    <w:p w14:paraId="592B6CD7" w14:textId="77777777" w:rsidR="002D0E99" w:rsidRDefault="000D329E">
      <w:pPr>
        <w:spacing w:after="600"/>
        <w:jc w:val="center"/>
      </w:pPr>
      <w:r>
        <w:rPr>
          <w:rFonts w:ascii="Arial" w:eastAsia="Arial" w:hAnsi="Arial" w:cs="Arial"/>
          <w:sz w:val="26"/>
          <w:szCs w:val="26"/>
        </w:rPr>
        <w:t>Special Topics in Software Engineering: Blockchain</w:t>
      </w:r>
    </w:p>
    <w:p w14:paraId="71FB5FC6" w14:textId="77777777" w:rsidR="002D0E99" w:rsidRDefault="002D0E99">
      <w:pPr>
        <w:spacing w:after="400"/>
      </w:pPr>
    </w:p>
    <w:p w14:paraId="53962FCE" w14:textId="77777777" w:rsidR="002D0E99" w:rsidRDefault="000D329E">
      <w:pPr>
        <w:spacing w:after="100"/>
        <w:jc w:val="center"/>
      </w:pPr>
      <w:r>
        <w:rPr>
          <w:rFonts w:ascii="Arial" w:eastAsia="Arial" w:hAnsi="Arial" w:cs="Arial"/>
          <w:color w:val="555555"/>
        </w:rPr>
        <w:t>COMPREHENSIVE RESEARCH REPORT</w:t>
      </w:r>
    </w:p>
    <w:p w14:paraId="43B4DBDC" w14:textId="77777777" w:rsidR="002D0E99" w:rsidRDefault="000D329E">
      <w:pPr>
        <w:spacing w:after="600"/>
        <w:jc w:val="center"/>
      </w:pPr>
      <w:r>
        <w:rPr>
          <w:rFonts w:ascii="Arial" w:eastAsia="Arial" w:hAnsi="Arial" w:cs="Arial"/>
          <w:b/>
          <w:bCs/>
          <w:sz w:val="48"/>
          <w:szCs w:val="48"/>
        </w:rPr>
        <w:t>Chapter 5: Blockchain Wallets</w:t>
      </w:r>
    </w:p>
    <w:p w14:paraId="0C636197" w14:textId="77777777" w:rsidR="002D0E99" w:rsidRDefault="000D329E">
      <w:pPr>
        <w:spacing w:after="200"/>
        <w:jc w:val="center"/>
      </w:pPr>
      <w:r>
        <w:rPr>
          <w:rFonts w:ascii="Arial" w:eastAsia="Arial" w:hAnsi="Arial" w:cs="Arial"/>
          <w:i/>
          <w:iCs/>
          <w:color w:val="444444"/>
          <w:sz w:val="26"/>
          <w:szCs w:val="26"/>
        </w:rPr>
        <w:t>From Foundational Concepts to Advanced Security Paradigms</w:t>
      </w:r>
    </w:p>
    <w:p w14:paraId="5BA38916" w14:textId="77777777" w:rsidR="002D0E99" w:rsidRDefault="002D0E99">
      <w:pPr>
        <w:spacing w:after="800"/>
      </w:pPr>
    </w:p>
    <w:p w14:paraId="2BCF09C7" w14:textId="77777777" w:rsidR="002D0E99" w:rsidRDefault="000D329E">
      <w:pPr>
        <w:spacing w:after="200"/>
        <w:jc w:val="center"/>
      </w:pPr>
      <w:r>
        <w:rPr>
          <w:rFonts w:ascii="Arial" w:eastAsia="Arial" w:hAnsi="Arial" w:cs="Arial"/>
        </w:rPr>
        <w:t>Academic Year 2024-2025</w:t>
      </w:r>
    </w:p>
    <w:p w14:paraId="40B6E9A4" w14:textId="77777777" w:rsidR="002D0E99" w:rsidRDefault="000D329E">
      <w:pPr>
        <w:spacing w:after="400"/>
        <w:jc w:val="center"/>
      </w:pPr>
      <w:r>
        <w:rPr>
          <w:rFonts w:ascii="Arial" w:eastAsia="Arial" w:hAnsi="Arial" w:cs="Arial"/>
        </w:rPr>
        <w:t>December 2025</w:t>
      </w:r>
    </w:p>
    <w:p w14:paraId="442E03F5" w14:textId="77777777" w:rsidR="002D0E99" w:rsidRDefault="000D329E">
      <w:r>
        <w:br w:type="page"/>
      </w:r>
    </w:p>
    <w:p w14:paraId="345A9D81" w14:textId="77777777" w:rsidR="002D0E99" w:rsidRDefault="000D329E">
      <w:pPr>
        <w:pStyle w:val="Heading1"/>
      </w:pPr>
      <w:bookmarkStart w:id="0" w:name="_Toc215817645"/>
      <w:r>
        <w:lastRenderedPageBreak/>
        <w:t>Table of Contents</w:t>
      </w:r>
      <w:bookmarkEnd w:id="0"/>
    </w:p>
    <w:sdt>
      <w:sdtPr>
        <w:alias w:val="Table of Contents"/>
        <w:id w:val="123668187"/>
      </w:sdtPr>
      <w:sdtEndPr/>
      <w:sdtContent>
        <w:p w14:paraId="13592CFE" w14:textId="77777777" w:rsidR="00B97E2E" w:rsidRDefault="000D329E">
          <w:pPr>
            <w:pStyle w:val="TOC1"/>
            <w:tabs>
              <w:tab w:val="right" w:leader="dot" w:pos="9016"/>
            </w:tabs>
            <w:rPr>
              <w:noProof/>
            </w:rPr>
          </w:pPr>
          <w:r>
            <w:fldChar w:fldCharType="begin"/>
          </w:r>
          <w:r>
            <w:instrText>TOC \h \o "1-3"</w:instrText>
          </w:r>
          <w:r>
            <w:fldChar w:fldCharType="separate"/>
          </w:r>
          <w:hyperlink w:anchor="_Toc215817645" w:history="1">
            <w:r w:rsidR="00B97E2E" w:rsidRPr="00DA2A22">
              <w:rPr>
                <w:rStyle w:val="Hyperlink"/>
                <w:noProof/>
              </w:rPr>
              <w:t>Table of Contents</w:t>
            </w:r>
            <w:r w:rsidR="00B97E2E">
              <w:rPr>
                <w:noProof/>
              </w:rPr>
              <w:tab/>
            </w:r>
            <w:r w:rsidR="00B97E2E">
              <w:rPr>
                <w:noProof/>
              </w:rPr>
              <w:fldChar w:fldCharType="begin"/>
            </w:r>
            <w:r w:rsidR="00B97E2E">
              <w:rPr>
                <w:noProof/>
              </w:rPr>
              <w:instrText xml:space="preserve"> PAGEREF _Toc215817645 \h </w:instrText>
            </w:r>
            <w:r w:rsidR="00B97E2E">
              <w:rPr>
                <w:noProof/>
              </w:rPr>
            </w:r>
            <w:r w:rsidR="00B97E2E">
              <w:rPr>
                <w:noProof/>
              </w:rPr>
              <w:fldChar w:fldCharType="separate"/>
            </w:r>
            <w:r w:rsidR="00B97E2E">
              <w:rPr>
                <w:noProof/>
              </w:rPr>
              <w:t>2</w:t>
            </w:r>
            <w:r w:rsidR="00B97E2E">
              <w:rPr>
                <w:noProof/>
              </w:rPr>
              <w:fldChar w:fldCharType="end"/>
            </w:r>
          </w:hyperlink>
        </w:p>
        <w:p w14:paraId="5F1FB88E" w14:textId="77777777" w:rsidR="00B97E2E" w:rsidRDefault="00B97E2E">
          <w:pPr>
            <w:pStyle w:val="TOC1"/>
            <w:tabs>
              <w:tab w:val="right" w:leader="dot" w:pos="9016"/>
            </w:tabs>
            <w:rPr>
              <w:noProof/>
            </w:rPr>
          </w:pPr>
          <w:hyperlink w:anchor="_Toc215817646" w:history="1">
            <w:r w:rsidRPr="00DA2A22">
              <w:rPr>
                <w:rStyle w:val="Hyperlink"/>
                <w:noProof/>
              </w:rPr>
              <w:t>1. Executive Summary</w:t>
            </w:r>
            <w:r>
              <w:rPr>
                <w:noProof/>
              </w:rPr>
              <w:tab/>
            </w:r>
            <w:r>
              <w:rPr>
                <w:noProof/>
              </w:rPr>
              <w:fldChar w:fldCharType="begin"/>
            </w:r>
            <w:r>
              <w:rPr>
                <w:noProof/>
              </w:rPr>
              <w:instrText xml:space="preserve"> PAGEREF _Toc215817646 \h </w:instrText>
            </w:r>
            <w:r>
              <w:rPr>
                <w:noProof/>
              </w:rPr>
            </w:r>
            <w:r>
              <w:rPr>
                <w:noProof/>
              </w:rPr>
              <w:fldChar w:fldCharType="separate"/>
            </w:r>
            <w:r>
              <w:rPr>
                <w:noProof/>
              </w:rPr>
              <w:t>5</w:t>
            </w:r>
            <w:r>
              <w:rPr>
                <w:noProof/>
              </w:rPr>
              <w:fldChar w:fldCharType="end"/>
            </w:r>
          </w:hyperlink>
        </w:p>
        <w:p w14:paraId="5EF806D6" w14:textId="77777777" w:rsidR="00B97E2E" w:rsidRDefault="00B97E2E">
          <w:pPr>
            <w:pStyle w:val="TOC1"/>
            <w:tabs>
              <w:tab w:val="right" w:leader="dot" w:pos="9016"/>
            </w:tabs>
            <w:rPr>
              <w:noProof/>
            </w:rPr>
          </w:pPr>
          <w:hyperlink w:anchor="_Toc215817647" w:history="1">
            <w:r w:rsidRPr="00DA2A22">
              <w:rPr>
                <w:rStyle w:val="Hyperlink"/>
                <w:noProof/>
              </w:rPr>
              <w:t>2. Foundational Wallet Concepts and Taxonomy</w:t>
            </w:r>
            <w:r>
              <w:rPr>
                <w:noProof/>
              </w:rPr>
              <w:tab/>
            </w:r>
            <w:r>
              <w:rPr>
                <w:noProof/>
              </w:rPr>
              <w:fldChar w:fldCharType="begin"/>
            </w:r>
            <w:r>
              <w:rPr>
                <w:noProof/>
              </w:rPr>
              <w:instrText xml:space="preserve"> PAGEREF _Toc215817647 \h </w:instrText>
            </w:r>
            <w:r>
              <w:rPr>
                <w:noProof/>
              </w:rPr>
            </w:r>
            <w:r>
              <w:rPr>
                <w:noProof/>
              </w:rPr>
              <w:fldChar w:fldCharType="separate"/>
            </w:r>
            <w:r>
              <w:rPr>
                <w:noProof/>
              </w:rPr>
              <w:t>6</w:t>
            </w:r>
            <w:r>
              <w:rPr>
                <w:noProof/>
              </w:rPr>
              <w:fldChar w:fldCharType="end"/>
            </w:r>
          </w:hyperlink>
        </w:p>
        <w:p w14:paraId="6C2B251E" w14:textId="77777777" w:rsidR="00B97E2E" w:rsidRDefault="00B97E2E">
          <w:pPr>
            <w:pStyle w:val="TOC2"/>
            <w:tabs>
              <w:tab w:val="right" w:leader="dot" w:pos="9016"/>
            </w:tabs>
            <w:rPr>
              <w:noProof/>
            </w:rPr>
          </w:pPr>
          <w:hyperlink w:anchor="_Toc215817648" w:history="1">
            <w:r w:rsidRPr="00DA2A22">
              <w:rPr>
                <w:rStyle w:val="Hyperlink"/>
                <w:noProof/>
              </w:rPr>
              <w:t>2.1 Definition and Functional Role</w:t>
            </w:r>
            <w:r>
              <w:rPr>
                <w:noProof/>
              </w:rPr>
              <w:tab/>
            </w:r>
            <w:r>
              <w:rPr>
                <w:noProof/>
              </w:rPr>
              <w:fldChar w:fldCharType="begin"/>
            </w:r>
            <w:r>
              <w:rPr>
                <w:noProof/>
              </w:rPr>
              <w:instrText xml:space="preserve"> PAGEREF _Toc215817648 \h </w:instrText>
            </w:r>
            <w:r>
              <w:rPr>
                <w:noProof/>
              </w:rPr>
            </w:r>
            <w:r>
              <w:rPr>
                <w:noProof/>
              </w:rPr>
              <w:fldChar w:fldCharType="separate"/>
            </w:r>
            <w:r>
              <w:rPr>
                <w:noProof/>
              </w:rPr>
              <w:t>6</w:t>
            </w:r>
            <w:r>
              <w:rPr>
                <w:noProof/>
              </w:rPr>
              <w:fldChar w:fldCharType="end"/>
            </w:r>
          </w:hyperlink>
        </w:p>
        <w:p w14:paraId="4E3BE6E2" w14:textId="77777777" w:rsidR="00B97E2E" w:rsidRDefault="00B97E2E">
          <w:pPr>
            <w:pStyle w:val="TOC2"/>
            <w:tabs>
              <w:tab w:val="right" w:leader="dot" w:pos="9016"/>
            </w:tabs>
            <w:rPr>
              <w:noProof/>
            </w:rPr>
          </w:pPr>
          <w:hyperlink w:anchor="_Toc215817649" w:history="1">
            <w:r w:rsidRPr="00DA2A22">
              <w:rPr>
                <w:rStyle w:val="Hyperlink"/>
                <w:noProof/>
              </w:rPr>
              <w:t>2.2 Wallet Classification Taxonomy</w:t>
            </w:r>
            <w:r>
              <w:rPr>
                <w:noProof/>
              </w:rPr>
              <w:tab/>
            </w:r>
            <w:r>
              <w:rPr>
                <w:noProof/>
              </w:rPr>
              <w:fldChar w:fldCharType="begin"/>
            </w:r>
            <w:r>
              <w:rPr>
                <w:noProof/>
              </w:rPr>
              <w:instrText xml:space="preserve"> PAGEREF _Toc215817649 \h </w:instrText>
            </w:r>
            <w:r>
              <w:rPr>
                <w:noProof/>
              </w:rPr>
            </w:r>
            <w:r>
              <w:rPr>
                <w:noProof/>
              </w:rPr>
              <w:fldChar w:fldCharType="separate"/>
            </w:r>
            <w:r>
              <w:rPr>
                <w:noProof/>
              </w:rPr>
              <w:t>6</w:t>
            </w:r>
            <w:r>
              <w:rPr>
                <w:noProof/>
              </w:rPr>
              <w:fldChar w:fldCharType="end"/>
            </w:r>
          </w:hyperlink>
        </w:p>
        <w:p w14:paraId="6B155706" w14:textId="77777777" w:rsidR="00B97E2E" w:rsidRDefault="00B97E2E">
          <w:pPr>
            <w:pStyle w:val="TOC3"/>
            <w:tabs>
              <w:tab w:val="right" w:leader="dot" w:pos="9016"/>
            </w:tabs>
            <w:rPr>
              <w:noProof/>
            </w:rPr>
          </w:pPr>
          <w:hyperlink w:anchor="_Toc215817650" w:history="1">
            <w:r w:rsidRPr="00DA2A22">
              <w:rPr>
                <w:rStyle w:val="Hyperlink"/>
                <w:noProof/>
              </w:rPr>
              <w:t>2.2.1 Nondeterministic (Random) Wallets</w:t>
            </w:r>
            <w:r>
              <w:rPr>
                <w:noProof/>
              </w:rPr>
              <w:tab/>
            </w:r>
            <w:r>
              <w:rPr>
                <w:noProof/>
              </w:rPr>
              <w:fldChar w:fldCharType="begin"/>
            </w:r>
            <w:r>
              <w:rPr>
                <w:noProof/>
              </w:rPr>
              <w:instrText xml:space="preserve"> PAGEREF _Toc215817650 \h </w:instrText>
            </w:r>
            <w:r>
              <w:rPr>
                <w:noProof/>
              </w:rPr>
            </w:r>
            <w:r>
              <w:rPr>
                <w:noProof/>
              </w:rPr>
              <w:fldChar w:fldCharType="separate"/>
            </w:r>
            <w:r>
              <w:rPr>
                <w:noProof/>
              </w:rPr>
              <w:t>6</w:t>
            </w:r>
            <w:r>
              <w:rPr>
                <w:noProof/>
              </w:rPr>
              <w:fldChar w:fldCharType="end"/>
            </w:r>
          </w:hyperlink>
        </w:p>
        <w:p w14:paraId="2CB862BD" w14:textId="77777777" w:rsidR="00B97E2E" w:rsidRDefault="00B97E2E">
          <w:pPr>
            <w:pStyle w:val="TOC3"/>
            <w:tabs>
              <w:tab w:val="right" w:leader="dot" w:pos="9016"/>
            </w:tabs>
            <w:rPr>
              <w:noProof/>
            </w:rPr>
          </w:pPr>
          <w:hyperlink w:anchor="_Toc215817651" w:history="1">
            <w:r w:rsidRPr="00DA2A22">
              <w:rPr>
                <w:rStyle w:val="Hyperlink"/>
                <w:noProof/>
              </w:rPr>
              <w:t>2.2.2 Deterministic (Seeded) Wallets</w:t>
            </w:r>
            <w:r>
              <w:rPr>
                <w:noProof/>
              </w:rPr>
              <w:tab/>
            </w:r>
            <w:r>
              <w:rPr>
                <w:noProof/>
              </w:rPr>
              <w:fldChar w:fldCharType="begin"/>
            </w:r>
            <w:r>
              <w:rPr>
                <w:noProof/>
              </w:rPr>
              <w:instrText xml:space="preserve"> PAGEREF _Toc215817651 \h </w:instrText>
            </w:r>
            <w:r>
              <w:rPr>
                <w:noProof/>
              </w:rPr>
            </w:r>
            <w:r>
              <w:rPr>
                <w:noProof/>
              </w:rPr>
              <w:fldChar w:fldCharType="separate"/>
            </w:r>
            <w:r>
              <w:rPr>
                <w:noProof/>
              </w:rPr>
              <w:t>6</w:t>
            </w:r>
            <w:r>
              <w:rPr>
                <w:noProof/>
              </w:rPr>
              <w:fldChar w:fldCharType="end"/>
            </w:r>
          </w:hyperlink>
        </w:p>
        <w:p w14:paraId="38B0B351" w14:textId="77777777" w:rsidR="00B97E2E" w:rsidRDefault="00B97E2E">
          <w:pPr>
            <w:pStyle w:val="TOC3"/>
            <w:tabs>
              <w:tab w:val="right" w:leader="dot" w:pos="9016"/>
            </w:tabs>
            <w:rPr>
              <w:noProof/>
            </w:rPr>
          </w:pPr>
          <w:hyperlink w:anchor="_Toc215817652" w:history="1">
            <w:r w:rsidRPr="00DA2A22">
              <w:rPr>
                <w:rStyle w:val="Hyperlink"/>
                <w:noProof/>
              </w:rPr>
              <w:t>2.2.3 Hierarchical Deterministic (HD) Wallets</w:t>
            </w:r>
            <w:r>
              <w:rPr>
                <w:noProof/>
              </w:rPr>
              <w:tab/>
            </w:r>
            <w:r>
              <w:rPr>
                <w:noProof/>
              </w:rPr>
              <w:fldChar w:fldCharType="begin"/>
            </w:r>
            <w:r>
              <w:rPr>
                <w:noProof/>
              </w:rPr>
              <w:instrText xml:space="preserve"> PAGEREF _Toc215817652 \h </w:instrText>
            </w:r>
            <w:r>
              <w:rPr>
                <w:noProof/>
              </w:rPr>
            </w:r>
            <w:r>
              <w:rPr>
                <w:noProof/>
              </w:rPr>
              <w:fldChar w:fldCharType="separate"/>
            </w:r>
            <w:r>
              <w:rPr>
                <w:noProof/>
              </w:rPr>
              <w:t>7</w:t>
            </w:r>
            <w:r>
              <w:rPr>
                <w:noProof/>
              </w:rPr>
              <w:fldChar w:fldCharType="end"/>
            </w:r>
          </w:hyperlink>
        </w:p>
        <w:p w14:paraId="6DDC0F47" w14:textId="77777777" w:rsidR="00B97E2E" w:rsidRDefault="00B97E2E">
          <w:pPr>
            <w:pStyle w:val="TOC2"/>
            <w:tabs>
              <w:tab w:val="right" w:leader="dot" w:pos="9016"/>
            </w:tabs>
            <w:rPr>
              <w:noProof/>
            </w:rPr>
          </w:pPr>
          <w:hyperlink w:anchor="_Toc215817653" w:history="1">
            <w:r w:rsidRPr="00DA2A22">
              <w:rPr>
                <w:rStyle w:val="Hyperlink"/>
                <w:noProof/>
              </w:rPr>
              <w:t>2.3 Custody Models and Trust Architectures</w:t>
            </w:r>
            <w:r>
              <w:rPr>
                <w:noProof/>
              </w:rPr>
              <w:tab/>
            </w:r>
            <w:r>
              <w:rPr>
                <w:noProof/>
              </w:rPr>
              <w:fldChar w:fldCharType="begin"/>
            </w:r>
            <w:r>
              <w:rPr>
                <w:noProof/>
              </w:rPr>
              <w:instrText xml:space="preserve"> PAGEREF _Toc215817653 \h </w:instrText>
            </w:r>
            <w:r>
              <w:rPr>
                <w:noProof/>
              </w:rPr>
            </w:r>
            <w:r>
              <w:rPr>
                <w:noProof/>
              </w:rPr>
              <w:fldChar w:fldCharType="separate"/>
            </w:r>
            <w:r>
              <w:rPr>
                <w:noProof/>
              </w:rPr>
              <w:t>7</w:t>
            </w:r>
            <w:r>
              <w:rPr>
                <w:noProof/>
              </w:rPr>
              <w:fldChar w:fldCharType="end"/>
            </w:r>
          </w:hyperlink>
        </w:p>
        <w:p w14:paraId="2E43035E" w14:textId="77777777" w:rsidR="00B97E2E" w:rsidRDefault="00B97E2E">
          <w:pPr>
            <w:pStyle w:val="TOC3"/>
            <w:tabs>
              <w:tab w:val="right" w:leader="dot" w:pos="9016"/>
            </w:tabs>
            <w:rPr>
              <w:noProof/>
            </w:rPr>
          </w:pPr>
          <w:hyperlink w:anchor="_Toc215817654" w:history="1">
            <w:r w:rsidRPr="00DA2A22">
              <w:rPr>
                <w:rStyle w:val="Hyperlink"/>
                <w:noProof/>
              </w:rPr>
              <w:t>2.3.1 Self-Custody (Non-Custodial) Wallets</w:t>
            </w:r>
            <w:r>
              <w:rPr>
                <w:noProof/>
              </w:rPr>
              <w:tab/>
            </w:r>
            <w:r>
              <w:rPr>
                <w:noProof/>
              </w:rPr>
              <w:fldChar w:fldCharType="begin"/>
            </w:r>
            <w:r>
              <w:rPr>
                <w:noProof/>
              </w:rPr>
              <w:instrText xml:space="preserve"> PAGEREF _Toc215817654 \h </w:instrText>
            </w:r>
            <w:r>
              <w:rPr>
                <w:noProof/>
              </w:rPr>
            </w:r>
            <w:r>
              <w:rPr>
                <w:noProof/>
              </w:rPr>
              <w:fldChar w:fldCharType="separate"/>
            </w:r>
            <w:r>
              <w:rPr>
                <w:noProof/>
              </w:rPr>
              <w:t>7</w:t>
            </w:r>
            <w:r>
              <w:rPr>
                <w:noProof/>
              </w:rPr>
              <w:fldChar w:fldCharType="end"/>
            </w:r>
          </w:hyperlink>
        </w:p>
        <w:p w14:paraId="5BE4E844" w14:textId="77777777" w:rsidR="00B97E2E" w:rsidRDefault="00B97E2E">
          <w:pPr>
            <w:pStyle w:val="TOC3"/>
            <w:tabs>
              <w:tab w:val="right" w:leader="dot" w:pos="9016"/>
            </w:tabs>
            <w:rPr>
              <w:noProof/>
            </w:rPr>
          </w:pPr>
          <w:hyperlink w:anchor="_Toc215817655" w:history="1">
            <w:r w:rsidRPr="00DA2A22">
              <w:rPr>
                <w:rStyle w:val="Hyperlink"/>
                <w:noProof/>
              </w:rPr>
              <w:t>2.3.2 Custodial Wallets</w:t>
            </w:r>
            <w:r>
              <w:rPr>
                <w:noProof/>
              </w:rPr>
              <w:tab/>
            </w:r>
            <w:r>
              <w:rPr>
                <w:noProof/>
              </w:rPr>
              <w:fldChar w:fldCharType="begin"/>
            </w:r>
            <w:r>
              <w:rPr>
                <w:noProof/>
              </w:rPr>
              <w:instrText xml:space="preserve"> PAGEREF _Toc215817655 \h </w:instrText>
            </w:r>
            <w:r>
              <w:rPr>
                <w:noProof/>
              </w:rPr>
            </w:r>
            <w:r>
              <w:rPr>
                <w:noProof/>
              </w:rPr>
              <w:fldChar w:fldCharType="separate"/>
            </w:r>
            <w:r>
              <w:rPr>
                <w:noProof/>
              </w:rPr>
              <w:t>7</w:t>
            </w:r>
            <w:r>
              <w:rPr>
                <w:noProof/>
              </w:rPr>
              <w:fldChar w:fldCharType="end"/>
            </w:r>
          </w:hyperlink>
        </w:p>
        <w:p w14:paraId="77AF5E9A" w14:textId="77777777" w:rsidR="00B97E2E" w:rsidRDefault="00B97E2E">
          <w:pPr>
            <w:pStyle w:val="TOC3"/>
            <w:tabs>
              <w:tab w:val="right" w:leader="dot" w:pos="9016"/>
            </w:tabs>
            <w:rPr>
              <w:noProof/>
            </w:rPr>
          </w:pPr>
          <w:hyperlink w:anchor="_Toc215817656" w:history="1">
            <w:r w:rsidRPr="00DA2A22">
              <w:rPr>
                <w:rStyle w:val="Hyperlink"/>
                <w:noProof/>
              </w:rPr>
              <w:t>2.3.3 Hybrid and Distributed Custody</w:t>
            </w:r>
            <w:r>
              <w:rPr>
                <w:noProof/>
              </w:rPr>
              <w:tab/>
            </w:r>
            <w:r>
              <w:rPr>
                <w:noProof/>
              </w:rPr>
              <w:fldChar w:fldCharType="begin"/>
            </w:r>
            <w:r>
              <w:rPr>
                <w:noProof/>
              </w:rPr>
              <w:instrText xml:space="preserve"> PAGEREF _Toc215817656 \h </w:instrText>
            </w:r>
            <w:r>
              <w:rPr>
                <w:noProof/>
              </w:rPr>
            </w:r>
            <w:r>
              <w:rPr>
                <w:noProof/>
              </w:rPr>
              <w:fldChar w:fldCharType="separate"/>
            </w:r>
            <w:r>
              <w:rPr>
                <w:noProof/>
              </w:rPr>
              <w:t>8</w:t>
            </w:r>
            <w:r>
              <w:rPr>
                <w:noProof/>
              </w:rPr>
              <w:fldChar w:fldCharType="end"/>
            </w:r>
          </w:hyperlink>
        </w:p>
        <w:p w14:paraId="1DCD3B59" w14:textId="77777777" w:rsidR="00B97E2E" w:rsidRDefault="00B97E2E">
          <w:pPr>
            <w:pStyle w:val="TOC1"/>
            <w:tabs>
              <w:tab w:val="right" w:leader="dot" w:pos="9016"/>
            </w:tabs>
            <w:rPr>
              <w:noProof/>
            </w:rPr>
          </w:pPr>
          <w:hyperlink w:anchor="_Toc215817657" w:history="1">
            <w:r w:rsidRPr="00DA2A22">
              <w:rPr>
                <w:rStyle w:val="Hyperlink"/>
                <w:noProof/>
              </w:rPr>
              <w:t>3. Bitcoin Improvement Proposals: HD Wallet Standards</w:t>
            </w:r>
            <w:r>
              <w:rPr>
                <w:noProof/>
              </w:rPr>
              <w:tab/>
            </w:r>
            <w:r>
              <w:rPr>
                <w:noProof/>
              </w:rPr>
              <w:fldChar w:fldCharType="begin"/>
            </w:r>
            <w:r>
              <w:rPr>
                <w:noProof/>
              </w:rPr>
              <w:instrText xml:space="preserve"> PAGEREF _Toc215817657 \h </w:instrText>
            </w:r>
            <w:r>
              <w:rPr>
                <w:noProof/>
              </w:rPr>
            </w:r>
            <w:r>
              <w:rPr>
                <w:noProof/>
              </w:rPr>
              <w:fldChar w:fldCharType="separate"/>
            </w:r>
            <w:r>
              <w:rPr>
                <w:noProof/>
              </w:rPr>
              <w:t>9</w:t>
            </w:r>
            <w:r>
              <w:rPr>
                <w:noProof/>
              </w:rPr>
              <w:fldChar w:fldCharType="end"/>
            </w:r>
          </w:hyperlink>
        </w:p>
        <w:p w14:paraId="656A937B" w14:textId="77777777" w:rsidR="00B97E2E" w:rsidRDefault="00B97E2E">
          <w:pPr>
            <w:pStyle w:val="TOC2"/>
            <w:tabs>
              <w:tab w:val="right" w:leader="dot" w:pos="9016"/>
            </w:tabs>
            <w:rPr>
              <w:noProof/>
            </w:rPr>
          </w:pPr>
          <w:hyperlink w:anchor="_Toc215817658" w:history="1">
            <w:r w:rsidRPr="00DA2A22">
              <w:rPr>
                <w:rStyle w:val="Hyperlink"/>
                <w:noProof/>
              </w:rPr>
              <w:t>3.1 BIP-32: Hierarchical Deterministic Wallets</w:t>
            </w:r>
            <w:r>
              <w:rPr>
                <w:noProof/>
              </w:rPr>
              <w:tab/>
            </w:r>
            <w:r>
              <w:rPr>
                <w:noProof/>
              </w:rPr>
              <w:fldChar w:fldCharType="begin"/>
            </w:r>
            <w:r>
              <w:rPr>
                <w:noProof/>
              </w:rPr>
              <w:instrText xml:space="preserve"> PAGEREF _Toc215817658 \h </w:instrText>
            </w:r>
            <w:r>
              <w:rPr>
                <w:noProof/>
              </w:rPr>
            </w:r>
            <w:r>
              <w:rPr>
                <w:noProof/>
              </w:rPr>
              <w:fldChar w:fldCharType="separate"/>
            </w:r>
            <w:r>
              <w:rPr>
                <w:noProof/>
              </w:rPr>
              <w:t>9</w:t>
            </w:r>
            <w:r>
              <w:rPr>
                <w:noProof/>
              </w:rPr>
              <w:fldChar w:fldCharType="end"/>
            </w:r>
          </w:hyperlink>
        </w:p>
        <w:p w14:paraId="44A8C0D5" w14:textId="77777777" w:rsidR="00B97E2E" w:rsidRDefault="00B97E2E">
          <w:pPr>
            <w:pStyle w:val="TOC2"/>
            <w:tabs>
              <w:tab w:val="right" w:leader="dot" w:pos="9016"/>
            </w:tabs>
            <w:rPr>
              <w:noProof/>
            </w:rPr>
          </w:pPr>
          <w:hyperlink w:anchor="_Toc215817659" w:history="1">
            <w:r w:rsidRPr="00DA2A22">
              <w:rPr>
                <w:rStyle w:val="Hyperlink"/>
                <w:noProof/>
              </w:rPr>
              <w:t>3.2 BIP-39: Mnemonic Code Words</w:t>
            </w:r>
            <w:r>
              <w:rPr>
                <w:noProof/>
              </w:rPr>
              <w:tab/>
            </w:r>
            <w:r>
              <w:rPr>
                <w:noProof/>
              </w:rPr>
              <w:fldChar w:fldCharType="begin"/>
            </w:r>
            <w:r>
              <w:rPr>
                <w:noProof/>
              </w:rPr>
              <w:instrText xml:space="preserve"> PAGEREF _Toc215817659 \h </w:instrText>
            </w:r>
            <w:r>
              <w:rPr>
                <w:noProof/>
              </w:rPr>
            </w:r>
            <w:r>
              <w:rPr>
                <w:noProof/>
              </w:rPr>
              <w:fldChar w:fldCharType="separate"/>
            </w:r>
            <w:r>
              <w:rPr>
                <w:noProof/>
              </w:rPr>
              <w:t>9</w:t>
            </w:r>
            <w:r>
              <w:rPr>
                <w:noProof/>
              </w:rPr>
              <w:fldChar w:fldCharType="end"/>
            </w:r>
          </w:hyperlink>
        </w:p>
        <w:p w14:paraId="18FA7B7B" w14:textId="77777777" w:rsidR="00B97E2E" w:rsidRDefault="00B97E2E">
          <w:pPr>
            <w:pStyle w:val="TOC2"/>
            <w:tabs>
              <w:tab w:val="right" w:leader="dot" w:pos="9016"/>
            </w:tabs>
            <w:rPr>
              <w:noProof/>
            </w:rPr>
          </w:pPr>
          <w:hyperlink w:anchor="_Toc215817660" w:history="1">
            <w:r w:rsidRPr="00DA2A22">
              <w:rPr>
                <w:rStyle w:val="Hyperlink"/>
                <w:noProof/>
              </w:rPr>
              <w:t>3.3 BIP-43 and BIP-44: Purpose and Multi-Account Structure</w:t>
            </w:r>
            <w:r>
              <w:rPr>
                <w:noProof/>
              </w:rPr>
              <w:tab/>
            </w:r>
            <w:r>
              <w:rPr>
                <w:noProof/>
              </w:rPr>
              <w:fldChar w:fldCharType="begin"/>
            </w:r>
            <w:r>
              <w:rPr>
                <w:noProof/>
              </w:rPr>
              <w:instrText xml:space="preserve"> PAGEREF _Toc215817660 \h </w:instrText>
            </w:r>
            <w:r>
              <w:rPr>
                <w:noProof/>
              </w:rPr>
            </w:r>
            <w:r>
              <w:rPr>
                <w:noProof/>
              </w:rPr>
              <w:fldChar w:fldCharType="separate"/>
            </w:r>
            <w:r>
              <w:rPr>
                <w:noProof/>
              </w:rPr>
              <w:t>9</w:t>
            </w:r>
            <w:r>
              <w:rPr>
                <w:noProof/>
              </w:rPr>
              <w:fldChar w:fldCharType="end"/>
            </w:r>
          </w:hyperlink>
        </w:p>
        <w:p w14:paraId="5C5FD7D4" w14:textId="77777777" w:rsidR="00B97E2E" w:rsidRDefault="00B97E2E">
          <w:pPr>
            <w:pStyle w:val="TOC2"/>
            <w:tabs>
              <w:tab w:val="right" w:leader="dot" w:pos="9016"/>
            </w:tabs>
            <w:rPr>
              <w:noProof/>
            </w:rPr>
          </w:pPr>
          <w:hyperlink w:anchor="_Toc215817661" w:history="1">
            <w:r w:rsidRPr="00DA2A22">
              <w:rPr>
                <w:rStyle w:val="Hyperlink"/>
                <w:noProof/>
              </w:rPr>
              <w:t>3.4 BIP-49, BIP-84, and BIP-86: SegWit and Taproot Paths</w:t>
            </w:r>
            <w:r>
              <w:rPr>
                <w:noProof/>
              </w:rPr>
              <w:tab/>
            </w:r>
            <w:r>
              <w:rPr>
                <w:noProof/>
              </w:rPr>
              <w:fldChar w:fldCharType="begin"/>
            </w:r>
            <w:r>
              <w:rPr>
                <w:noProof/>
              </w:rPr>
              <w:instrText xml:space="preserve"> PAGEREF _Toc215817661 \h </w:instrText>
            </w:r>
            <w:r>
              <w:rPr>
                <w:noProof/>
              </w:rPr>
            </w:r>
            <w:r>
              <w:rPr>
                <w:noProof/>
              </w:rPr>
              <w:fldChar w:fldCharType="separate"/>
            </w:r>
            <w:r>
              <w:rPr>
                <w:noProof/>
              </w:rPr>
              <w:t>10</w:t>
            </w:r>
            <w:r>
              <w:rPr>
                <w:noProof/>
              </w:rPr>
              <w:fldChar w:fldCharType="end"/>
            </w:r>
          </w:hyperlink>
        </w:p>
        <w:p w14:paraId="63E7B80E" w14:textId="77777777" w:rsidR="00B97E2E" w:rsidRDefault="00B97E2E">
          <w:pPr>
            <w:pStyle w:val="TOC1"/>
            <w:tabs>
              <w:tab w:val="right" w:leader="dot" w:pos="9016"/>
            </w:tabs>
            <w:rPr>
              <w:noProof/>
            </w:rPr>
          </w:pPr>
          <w:hyperlink w:anchor="_Toc215817662" w:history="1">
            <w:r w:rsidRPr="00DA2A22">
              <w:rPr>
                <w:rStyle w:val="Hyperlink"/>
                <w:noProof/>
              </w:rPr>
              <w:t>4. Multi-Party Computation (MPC) Wallets</w:t>
            </w:r>
            <w:r>
              <w:rPr>
                <w:noProof/>
              </w:rPr>
              <w:tab/>
            </w:r>
            <w:r>
              <w:rPr>
                <w:noProof/>
              </w:rPr>
              <w:fldChar w:fldCharType="begin"/>
            </w:r>
            <w:r>
              <w:rPr>
                <w:noProof/>
              </w:rPr>
              <w:instrText xml:space="preserve"> PAGEREF _Toc215817662 \h </w:instrText>
            </w:r>
            <w:r>
              <w:rPr>
                <w:noProof/>
              </w:rPr>
            </w:r>
            <w:r>
              <w:rPr>
                <w:noProof/>
              </w:rPr>
              <w:fldChar w:fldCharType="separate"/>
            </w:r>
            <w:r>
              <w:rPr>
                <w:noProof/>
              </w:rPr>
              <w:t>11</w:t>
            </w:r>
            <w:r>
              <w:rPr>
                <w:noProof/>
              </w:rPr>
              <w:fldChar w:fldCharType="end"/>
            </w:r>
          </w:hyperlink>
        </w:p>
        <w:p w14:paraId="4B8CDB55" w14:textId="77777777" w:rsidR="00B97E2E" w:rsidRDefault="00B97E2E">
          <w:pPr>
            <w:pStyle w:val="TOC2"/>
            <w:tabs>
              <w:tab w:val="right" w:leader="dot" w:pos="9016"/>
            </w:tabs>
            <w:rPr>
              <w:noProof/>
            </w:rPr>
          </w:pPr>
          <w:hyperlink w:anchor="_Toc215817663" w:history="1">
            <w:r w:rsidRPr="00DA2A22">
              <w:rPr>
                <w:rStyle w:val="Hyperlink"/>
                <w:noProof/>
              </w:rPr>
              <w:t>4.1 Theoretical Foundations</w:t>
            </w:r>
            <w:r>
              <w:rPr>
                <w:noProof/>
              </w:rPr>
              <w:tab/>
            </w:r>
            <w:r>
              <w:rPr>
                <w:noProof/>
              </w:rPr>
              <w:fldChar w:fldCharType="begin"/>
            </w:r>
            <w:r>
              <w:rPr>
                <w:noProof/>
              </w:rPr>
              <w:instrText xml:space="preserve"> PAGEREF _Toc215817663 \h </w:instrText>
            </w:r>
            <w:r>
              <w:rPr>
                <w:noProof/>
              </w:rPr>
            </w:r>
            <w:r>
              <w:rPr>
                <w:noProof/>
              </w:rPr>
              <w:fldChar w:fldCharType="separate"/>
            </w:r>
            <w:r>
              <w:rPr>
                <w:noProof/>
              </w:rPr>
              <w:t>11</w:t>
            </w:r>
            <w:r>
              <w:rPr>
                <w:noProof/>
              </w:rPr>
              <w:fldChar w:fldCharType="end"/>
            </w:r>
          </w:hyperlink>
        </w:p>
        <w:p w14:paraId="75C73B72" w14:textId="77777777" w:rsidR="00B97E2E" w:rsidRDefault="00B97E2E">
          <w:pPr>
            <w:pStyle w:val="TOC2"/>
            <w:tabs>
              <w:tab w:val="right" w:leader="dot" w:pos="9016"/>
            </w:tabs>
            <w:rPr>
              <w:noProof/>
            </w:rPr>
          </w:pPr>
          <w:hyperlink w:anchor="_Toc215817664" w:history="1">
            <w:r w:rsidRPr="00DA2A22">
              <w:rPr>
                <w:rStyle w:val="Hyperlink"/>
                <w:noProof/>
              </w:rPr>
              <w:t>4.2 Threshold Signature Schemes</w:t>
            </w:r>
            <w:r>
              <w:rPr>
                <w:noProof/>
              </w:rPr>
              <w:tab/>
            </w:r>
            <w:r>
              <w:rPr>
                <w:noProof/>
              </w:rPr>
              <w:fldChar w:fldCharType="begin"/>
            </w:r>
            <w:r>
              <w:rPr>
                <w:noProof/>
              </w:rPr>
              <w:instrText xml:space="preserve"> PAGEREF _Toc215817664 \h </w:instrText>
            </w:r>
            <w:r>
              <w:rPr>
                <w:noProof/>
              </w:rPr>
            </w:r>
            <w:r>
              <w:rPr>
                <w:noProof/>
              </w:rPr>
              <w:fldChar w:fldCharType="separate"/>
            </w:r>
            <w:r>
              <w:rPr>
                <w:noProof/>
              </w:rPr>
              <w:t>11</w:t>
            </w:r>
            <w:r>
              <w:rPr>
                <w:noProof/>
              </w:rPr>
              <w:fldChar w:fldCharType="end"/>
            </w:r>
          </w:hyperlink>
        </w:p>
        <w:p w14:paraId="77407002" w14:textId="77777777" w:rsidR="00B97E2E" w:rsidRDefault="00B97E2E">
          <w:pPr>
            <w:pStyle w:val="TOC3"/>
            <w:tabs>
              <w:tab w:val="right" w:leader="dot" w:pos="9016"/>
            </w:tabs>
            <w:rPr>
              <w:noProof/>
            </w:rPr>
          </w:pPr>
          <w:hyperlink w:anchor="_Toc215817665" w:history="1">
            <w:r w:rsidRPr="00DA2A22">
              <w:rPr>
                <w:rStyle w:val="Hyperlink"/>
                <w:noProof/>
              </w:rPr>
              <w:t>4.2.1 FROST Protocol</w:t>
            </w:r>
            <w:r>
              <w:rPr>
                <w:noProof/>
              </w:rPr>
              <w:tab/>
            </w:r>
            <w:r>
              <w:rPr>
                <w:noProof/>
              </w:rPr>
              <w:fldChar w:fldCharType="begin"/>
            </w:r>
            <w:r>
              <w:rPr>
                <w:noProof/>
              </w:rPr>
              <w:instrText xml:space="preserve"> PAGEREF _Toc215817665 \h </w:instrText>
            </w:r>
            <w:r>
              <w:rPr>
                <w:noProof/>
              </w:rPr>
            </w:r>
            <w:r>
              <w:rPr>
                <w:noProof/>
              </w:rPr>
              <w:fldChar w:fldCharType="separate"/>
            </w:r>
            <w:r>
              <w:rPr>
                <w:noProof/>
              </w:rPr>
              <w:t>11</w:t>
            </w:r>
            <w:r>
              <w:rPr>
                <w:noProof/>
              </w:rPr>
              <w:fldChar w:fldCharType="end"/>
            </w:r>
          </w:hyperlink>
        </w:p>
        <w:p w14:paraId="7E15F6A2" w14:textId="77777777" w:rsidR="00B97E2E" w:rsidRDefault="00B97E2E">
          <w:pPr>
            <w:pStyle w:val="TOC3"/>
            <w:tabs>
              <w:tab w:val="right" w:leader="dot" w:pos="9016"/>
            </w:tabs>
            <w:rPr>
              <w:noProof/>
            </w:rPr>
          </w:pPr>
          <w:hyperlink w:anchor="_Toc215817666" w:history="1">
            <w:r w:rsidRPr="00DA2A22">
              <w:rPr>
                <w:rStyle w:val="Hyperlink"/>
                <w:noProof/>
              </w:rPr>
              <w:t>4.2.2 GG18 and GG20 Protocols</w:t>
            </w:r>
            <w:r>
              <w:rPr>
                <w:noProof/>
              </w:rPr>
              <w:tab/>
            </w:r>
            <w:r>
              <w:rPr>
                <w:noProof/>
              </w:rPr>
              <w:fldChar w:fldCharType="begin"/>
            </w:r>
            <w:r>
              <w:rPr>
                <w:noProof/>
              </w:rPr>
              <w:instrText xml:space="preserve"> PAGEREF _Toc215817666 \h </w:instrText>
            </w:r>
            <w:r>
              <w:rPr>
                <w:noProof/>
              </w:rPr>
            </w:r>
            <w:r>
              <w:rPr>
                <w:noProof/>
              </w:rPr>
              <w:fldChar w:fldCharType="separate"/>
            </w:r>
            <w:r>
              <w:rPr>
                <w:noProof/>
              </w:rPr>
              <w:t>11</w:t>
            </w:r>
            <w:r>
              <w:rPr>
                <w:noProof/>
              </w:rPr>
              <w:fldChar w:fldCharType="end"/>
            </w:r>
          </w:hyperlink>
        </w:p>
        <w:p w14:paraId="2BA39313" w14:textId="77777777" w:rsidR="00B97E2E" w:rsidRDefault="00B97E2E">
          <w:pPr>
            <w:pStyle w:val="TOC3"/>
            <w:tabs>
              <w:tab w:val="right" w:leader="dot" w:pos="9016"/>
            </w:tabs>
            <w:rPr>
              <w:noProof/>
            </w:rPr>
          </w:pPr>
          <w:hyperlink w:anchor="_Toc215817667" w:history="1">
            <w:r w:rsidRPr="00DA2A22">
              <w:rPr>
                <w:rStyle w:val="Hyperlink"/>
                <w:noProof/>
              </w:rPr>
              <w:t>4.2.3 Lindell17 Two-Party Protocol</w:t>
            </w:r>
            <w:r>
              <w:rPr>
                <w:noProof/>
              </w:rPr>
              <w:tab/>
            </w:r>
            <w:r>
              <w:rPr>
                <w:noProof/>
              </w:rPr>
              <w:fldChar w:fldCharType="begin"/>
            </w:r>
            <w:r>
              <w:rPr>
                <w:noProof/>
              </w:rPr>
              <w:instrText xml:space="preserve"> PAGEREF _Toc215817667 \h </w:instrText>
            </w:r>
            <w:r>
              <w:rPr>
                <w:noProof/>
              </w:rPr>
            </w:r>
            <w:r>
              <w:rPr>
                <w:noProof/>
              </w:rPr>
              <w:fldChar w:fldCharType="separate"/>
            </w:r>
            <w:r>
              <w:rPr>
                <w:noProof/>
              </w:rPr>
              <w:t>12</w:t>
            </w:r>
            <w:r>
              <w:rPr>
                <w:noProof/>
              </w:rPr>
              <w:fldChar w:fldCharType="end"/>
            </w:r>
          </w:hyperlink>
        </w:p>
        <w:p w14:paraId="3D4DFADF" w14:textId="77777777" w:rsidR="00B97E2E" w:rsidRDefault="00B97E2E">
          <w:pPr>
            <w:pStyle w:val="TOC2"/>
            <w:tabs>
              <w:tab w:val="right" w:leader="dot" w:pos="9016"/>
            </w:tabs>
            <w:rPr>
              <w:noProof/>
            </w:rPr>
          </w:pPr>
          <w:hyperlink w:anchor="_Toc215817668" w:history="1">
            <w:r w:rsidRPr="00DA2A22">
              <w:rPr>
                <w:rStyle w:val="Hyperlink"/>
                <w:noProof/>
              </w:rPr>
              <w:t>4.3 MPC vs. Multisignature Comparison</w:t>
            </w:r>
            <w:r>
              <w:rPr>
                <w:noProof/>
              </w:rPr>
              <w:tab/>
            </w:r>
            <w:r>
              <w:rPr>
                <w:noProof/>
              </w:rPr>
              <w:fldChar w:fldCharType="begin"/>
            </w:r>
            <w:r>
              <w:rPr>
                <w:noProof/>
              </w:rPr>
              <w:instrText xml:space="preserve"> PAGEREF _Toc215817668 \h </w:instrText>
            </w:r>
            <w:r>
              <w:rPr>
                <w:noProof/>
              </w:rPr>
            </w:r>
            <w:r>
              <w:rPr>
                <w:noProof/>
              </w:rPr>
              <w:fldChar w:fldCharType="separate"/>
            </w:r>
            <w:r>
              <w:rPr>
                <w:noProof/>
              </w:rPr>
              <w:t>12</w:t>
            </w:r>
            <w:r>
              <w:rPr>
                <w:noProof/>
              </w:rPr>
              <w:fldChar w:fldCharType="end"/>
            </w:r>
          </w:hyperlink>
        </w:p>
        <w:p w14:paraId="739E14FA" w14:textId="77777777" w:rsidR="00B97E2E" w:rsidRDefault="00B97E2E">
          <w:pPr>
            <w:pStyle w:val="TOC2"/>
            <w:tabs>
              <w:tab w:val="right" w:leader="dot" w:pos="9016"/>
            </w:tabs>
            <w:rPr>
              <w:noProof/>
            </w:rPr>
          </w:pPr>
          <w:hyperlink w:anchor="_Toc215817669" w:history="1">
            <w:r w:rsidRPr="00DA2A22">
              <w:rPr>
                <w:rStyle w:val="Hyperlink"/>
                <w:noProof/>
              </w:rPr>
              <w:t>4.4 Industrial Adoption and Implementations</w:t>
            </w:r>
            <w:r>
              <w:rPr>
                <w:noProof/>
              </w:rPr>
              <w:tab/>
            </w:r>
            <w:r>
              <w:rPr>
                <w:noProof/>
              </w:rPr>
              <w:fldChar w:fldCharType="begin"/>
            </w:r>
            <w:r>
              <w:rPr>
                <w:noProof/>
              </w:rPr>
              <w:instrText xml:space="preserve"> PAGEREF _Toc215817669 \h </w:instrText>
            </w:r>
            <w:r>
              <w:rPr>
                <w:noProof/>
              </w:rPr>
            </w:r>
            <w:r>
              <w:rPr>
                <w:noProof/>
              </w:rPr>
              <w:fldChar w:fldCharType="separate"/>
            </w:r>
            <w:r>
              <w:rPr>
                <w:noProof/>
              </w:rPr>
              <w:t>12</w:t>
            </w:r>
            <w:r>
              <w:rPr>
                <w:noProof/>
              </w:rPr>
              <w:fldChar w:fldCharType="end"/>
            </w:r>
          </w:hyperlink>
        </w:p>
        <w:p w14:paraId="12979E1A" w14:textId="77777777" w:rsidR="00B97E2E" w:rsidRDefault="00B97E2E">
          <w:pPr>
            <w:pStyle w:val="TOC2"/>
            <w:tabs>
              <w:tab w:val="right" w:leader="dot" w:pos="9016"/>
            </w:tabs>
            <w:rPr>
              <w:noProof/>
            </w:rPr>
          </w:pPr>
          <w:hyperlink w:anchor="_Toc215817670" w:history="1">
            <w:r w:rsidRPr="00DA2A22">
              <w:rPr>
                <w:rStyle w:val="Hyperlink"/>
                <w:noProof/>
              </w:rPr>
              <w:t>4.5 Security Vulnerabilities: BitForge Analysis</w:t>
            </w:r>
            <w:r>
              <w:rPr>
                <w:noProof/>
              </w:rPr>
              <w:tab/>
            </w:r>
            <w:r>
              <w:rPr>
                <w:noProof/>
              </w:rPr>
              <w:fldChar w:fldCharType="begin"/>
            </w:r>
            <w:r>
              <w:rPr>
                <w:noProof/>
              </w:rPr>
              <w:instrText xml:space="preserve"> PAGEREF _Toc215817670 \h </w:instrText>
            </w:r>
            <w:r>
              <w:rPr>
                <w:noProof/>
              </w:rPr>
            </w:r>
            <w:r>
              <w:rPr>
                <w:noProof/>
              </w:rPr>
              <w:fldChar w:fldCharType="separate"/>
            </w:r>
            <w:r>
              <w:rPr>
                <w:noProof/>
              </w:rPr>
              <w:t>13</w:t>
            </w:r>
            <w:r>
              <w:rPr>
                <w:noProof/>
              </w:rPr>
              <w:fldChar w:fldCharType="end"/>
            </w:r>
          </w:hyperlink>
        </w:p>
        <w:p w14:paraId="5D9918D8" w14:textId="77777777" w:rsidR="00B97E2E" w:rsidRDefault="00B97E2E">
          <w:pPr>
            <w:pStyle w:val="TOC1"/>
            <w:tabs>
              <w:tab w:val="right" w:leader="dot" w:pos="9016"/>
            </w:tabs>
            <w:rPr>
              <w:noProof/>
            </w:rPr>
          </w:pPr>
          <w:hyperlink w:anchor="_Toc215817671" w:history="1">
            <w:r w:rsidRPr="00DA2A22">
              <w:rPr>
                <w:rStyle w:val="Hyperlink"/>
                <w:noProof/>
              </w:rPr>
              <w:t>5. Account Abstraction: Programmable Wallets</w:t>
            </w:r>
            <w:r>
              <w:rPr>
                <w:noProof/>
              </w:rPr>
              <w:tab/>
            </w:r>
            <w:r>
              <w:rPr>
                <w:noProof/>
              </w:rPr>
              <w:fldChar w:fldCharType="begin"/>
            </w:r>
            <w:r>
              <w:rPr>
                <w:noProof/>
              </w:rPr>
              <w:instrText xml:space="preserve"> PAGEREF _Toc215817671 \h </w:instrText>
            </w:r>
            <w:r>
              <w:rPr>
                <w:noProof/>
              </w:rPr>
            </w:r>
            <w:r>
              <w:rPr>
                <w:noProof/>
              </w:rPr>
              <w:fldChar w:fldCharType="separate"/>
            </w:r>
            <w:r>
              <w:rPr>
                <w:noProof/>
              </w:rPr>
              <w:t>14</w:t>
            </w:r>
            <w:r>
              <w:rPr>
                <w:noProof/>
              </w:rPr>
              <w:fldChar w:fldCharType="end"/>
            </w:r>
          </w:hyperlink>
        </w:p>
        <w:p w14:paraId="555B08A9" w14:textId="77777777" w:rsidR="00B97E2E" w:rsidRDefault="00B97E2E">
          <w:pPr>
            <w:pStyle w:val="TOC2"/>
            <w:tabs>
              <w:tab w:val="right" w:leader="dot" w:pos="9016"/>
            </w:tabs>
            <w:rPr>
              <w:noProof/>
            </w:rPr>
          </w:pPr>
          <w:hyperlink w:anchor="_Toc215817672" w:history="1">
            <w:r w:rsidRPr="00DA2A22">
              <w:rPr>
                <w:rStyle w:val="Hyperlink"/>
                <w:noProof/>
              </w:rPr>
              <w:t>5.1 The Account Model Problem</w:t>
            </w:r>
            <w:r>
              <w:rPr>
                <w:noProof/>
              </w:rPr>
              <w:tab/>
            </w:r>
            <w:r>
              <w:rPr>
                <w:noProof/>
              </w:rPr>
              <w:fldChar w:fldCharType="begin"/>
            </w:r>
            <w:r>
              <w:rPr>
                <w:noProof/>
              </w:rPr>
              <w:instrText xml:space="preserve"> PAGEREF _Toc215817672 \h </w:instrText>
            </w:r>
            <w:r>
              <w:rPr>
                <w:noProof/>
              </w:rPr>
            </w:r>
            <w:r>
              <w:rPr>
                <w:noProof/>
              </w:rPr>
              <w:fldChar w:fldCharType="separate"/>
            </w:r>
            <w:r>
              <w:rPr>
                <w:noProof/>
              </w:rPr>
              <w:t>14</w:t>
            </w:r>
            <w:r>
              <w:rPr>
                <w:noProof/>
              </w:rPr>
              <w:fldChar w:fldCharType="end"/>
            </w:r>
          </w:hyperlink>
        </w:p>
        <w:p w14:paraId="20680E58" w14:textId="77777777" w:rsidR="00B97E2E" w:rsidRDefault="00B97E2E">
          <w:pPr>
            <w:pStyle w:val="TOC2"/>
            <w:tabs>
              <w:tab w:val="right" w:leader="dot" w:pos="9016"/>
            </w:tabs>
            <w:rPr>
              <w:noProof/>
            </w:rPr>
          </w:pPr>
          <w:hyperlink w:anchor="_Toc215817673" w:history="1">
            <w:r w:rsidRPr="00DA2A22">
              <w:rPr>
                <w:rStyle w:val="Hyperlink"/>
                <w:noProof/>
              </w:rPr>
              <w:t>5.2 ERC-4337: Permissionless Account Abstraction</w:t>
            </w:r>
            <w:r>
              <w:rPr>
                <w:noProof/>
              </w:rPr>
              <w:tab/>
            </w:r>
            <w:r>
              <w:rPr>
                <w:noProof/>
              </w:rPr>
              <w:fldChar w:fldCharType="begin"/>
            </w:r>
            <w:r>
              <w:rPr>
                <w:noProof/>
              </w:rPr>
              <w:instrText xml:space="preserve"> PAGEREF _Toc215817673 \h </w:instrText>
            </w:r>
            <w:r>
              <w:rPr>
                <w:noProof/>
              </w:rPr>
            </w:r>
            <w:r>
              <w:rPr>
                <w:noProof/>
              </w:rPr>
              <w:fldChar w:fldCharType="separate"/>
            </w:r>
            <w:r>
              <w:rPr>
                <w:noProof/>
              </w:rPr>
              <w:t>14</w:t>
            </w:r>
            <w:r>
              <w:rPr>
                <w:noProof/>
              </w:rPr>
              <w:fldChar w:fldCharType="end"/>
            </w:r>
          </w:hyperlink>
        </w:p>
        <w:p w14:paraId="52FAFC5E" w14:textId="77777777" w:rsidR="00B97E2E" w:rsidRDefault="00B97E2E">
          <w:pPr>
            <w:pStyle w:val="TOC2"/>
            <w:tabs>
              <w:tab w:val="right" w:leader="dot" w:pos="9016"/>
            </w:tabs>
            <w:rPr>
              <w:noProof/>
            </w:rPr>
          </w:pPr>
          <w:hyperlink w:anchor="_Toc215817674" w:history="1">
            <w:r w:rsidRPr="00DA2A22">
              <w:rPr>
                <w:rStyle w:val="Hyperlink"/>
                <w:noProof/>
              </w:rPr>
              <w:t>5.3 EIP-7702: Native EOA Delegation</w:t>
            </w:r>
            <w:r>
              <w:rPr>
                <w:noProof/>
              </w:rPr>
              <w:tab/>
            </w:r>
            <w:r>
              <w:rPr>
                <w:noProof/>
              </w:rPr>
              <w:fldChar w:fldCharType="begin"/>
            </w:r>
            <w:r>
              <w:rPr>
                <w:noProof/>
              </w:rPr>
              <w:instrText xml:space="preserve"> PAGEREF _Toc215817674 \h </w:instrText>
            </w:r>
            <w:r>
              <w:rPr>
                <w:noProof/>
              </w:rPr>
            </w:r>
            <w:r>
              <w:rPr>
                <w:noProof/>
              </w:rPr>
              <w:fldChar w:fldCharType="separate"/>
            </w:r>
            <w:r>
              <w:rPr>
                <w:noProof/>
              </w:rPr>
              <w:t>14</w:t>
            </w:r>
            <w:r>
              <w:rPr>
                <w:noProof/>
              </w:rPr>
              <w:fldChar w:fldCharType="end"/>
            </w:r>
          </w:hyperlink>
        </w:p>
        <w:p w14:paraId="01B0770C" w14:textId="77777777" w:rsidR="00B97E2E" w:rsidRDefault="00B97E2E">
          <w:pPr>
            <w:pStyle w:val="TOC2"/>
            <w:tabs>
              <w:tab w:val="right" w:leader="dot" w:pos="9016"/>
            </w:tabs>
            <w:rPr>
              <w:noProof/>
            </w:rPr>
          </w:pPr>
          <w:hyperlink w:anchor="_Toc215817675" w:history="1">
            <w:r w:rsidRPr="00DA2A22">
              <w:rPr>
                <w:rStyle w:val="Hyperlink"/>
                <w:noProof/>
              </w:rPr>
              <w:t>5.4 Smart Contract Wallet Implementations</w:t>
            </w:r>
            <w:r>
              <w:rPr>
                <w:noProof/>
              </w:rPr>
              <w:tab/>
            </w:r>
            <w:r>
              <w:rPr>
                <w:noProof/>
              </w:rPr>
              <w:fldChar w:fldCharType="begin"/>
            </w:r>
            <w:r>
              <w:rPr>
                <w:noProof/>
              </w:rPr>
              <w:instrText xml:space="preserve"> PAGEREF _Toc215817675 \h </w:instrText>
            </w:r>
            <w:r>
              <w:rPr>
                <w:noProof/>
              </w:rPr>
            </w:r>
            <w:r>
              <w:rPr>
                <w:noProof/>
              </w:rPr>
              <w:fldChar w:fldCharType="separate"/>
            </w:r>
            <w:r>
              <w:rPr>
                <w:noProof/>
              </w:rPr>
              <w:t>15</w:t>
            </w:r>
            <w:r>
              <w:rPr>
                <w:noProof/>
              </w:rPr>
              <w:fldChar w:fldCharType="end"/>
            </w:r>
          </w:hyperlink>
        </w:p>
        <w:p w14:paraId="69D3B31E" w14:textId="77777777" w:rsidR="00B97E2E" w:rsidRDefault="00B97E2E">
          <w:pPr>
            <w:pStyle w:val="TOC3"/>
            <w:tabs>
              <w:tab w:val="right" w:leader="dot" w:pos="9016"/>
            </w:tabs>
            <w:rPr>
              <w:noProof/>
            </w:rPr>
          </w:pPr>
          <w:hyperlink w:anchor="_Toc215817676" w:history="1">
            <w:r w:rsidRPr="00DA2A22">
              <w:rPr>
                <w:rStyle w:val="Hyperlink"/>
                <w:noProof/>
              </w:rPr>
              <w:t>5.4.1 Safe (formerly Gnosis Safe)</w:t>
            </w:r>
            <w:r>
              <w:rPr>
                <w:noProof/>
              </w:rPr>
              <w:tab/>
            </w:r>
            <w:r>
              <w:rPr>
                <w:noProof/>
              </w:rPr>
              <w:fldChar w:fldCharType="begin"/>
            </w:r>
            <w:r>
              <w:rPr>
                <w:noProof/>
              </w:rPr>
              <w:instrText xml:space="preserve"> PAGEREF _Toc215817676 \h </w:instrText>
            </w:r>
            <w:r>
              <w:rPr>
                <w:noProof/>
              </w:rPr>
            </w:r>
            <w:r>
              <w:rPr>
                <w:noProof/>
              </w:rPr>
              <w:fldChar w:fldCharType="separate"/>
            </w:r>
            <w:r>
              <w:rPr>
                <w:noProof/>
              </w:rPr>
              <w:t>15</w:t>
            </w:r>
            <w:r>
              <w:rPr>
                <w:noProof/>
              </w:rPr>
              <w:fldChar w:fldCharType="end"/>
            </w:r>
          </w:hyperlink>
        </w:p>
        <w:p w14:paraId="798B62BC" w14:textId="77777777" w:rsidR="00B97E2E" w:rsidRDefault="00B97E2E">
          <w:pPr>
            <w:pStyle w:val="TOC3"/>
            <w:tabs>
              <w:tab w:val="right" w:leader="dot" w:pos="9016"/>
            </w:tabs>
            <w:rPr>
              <w:noProof/>
            </w:rPr>
          </w:pPr>
          <w:hyperlink w:anchor="_Toc215817677" w:history="1">
            <w:r w:rsidRPr="00DA2A22">
              <w:rPr>
                <w:rStyle w:val="Hyperlink"/>
                <w:noProof/>
              </w:rPr>
              <w:t>5.4.2 Trust Wallet SWIFT</w:t>
            </w:r>
            <w:r>
              <w:rPr>
                <w:noProof/>
              </w:rPr>
              <w:tab/>
            </w:r>
            <w:r>
              <w:rPr>
                <w:noProof/>
              </w:rPr>
              <w:fldChar w:fldCharType="begin"/>
            </w:r>
            <w:r>
              <w:rPr>
                <w:noProof/>
              </w:rPr>
              <w:instrText xml:space="preserve"> PAGEREF _Toc215817677 \h </w:instrText>
            </w:r>
            <w:r>
              <w:rPr>
                <w:noProof/>
              </w:rPr>
            </w:r>
            <w:r>
              <w:rPr>
                <w:noProof/>
              </w:rPr>
              <w:fldChar w:fldCharType="separate"/>
            </w:r>
            <w:r>
              <w:rPr>
                <w:noProof/>
              </w:rPr>
              <w:t>15</w:t>
            </w:r>
            <w:r>
              <w:rPr>
                <w:noProof/>
              </w:rPr>
              <w:fldChar w:fldCharType="end"/>
            </w:r>
          </w:hyperlink>
        </w:p>
        <w:p w14:paraId="7357B929" w14:textId="77777777" w:rsidR="00B97E2E" w:rsidRDefault="00B97E2E">
          <w:pPr>
            <w:pStyle w:val="TOC3"/>
            <w:tabs>
              <w:tab w:val="right" w:leader="dot" w:pos="9016"/>
            </w:tabs>
            <w:rPr>
              <w:noProof/>
            </w:rPr>
          </w:pPr>
          <w:hyperlink w:anchor="_Toc215817678" w:history="1">
            <w:r w:rsidRPr="00DA2A22">
              <w:rPr>
                <w:rStyle w:val="Hyperlink"/>
                <w:noProof/>
              </w:rPr>
              <w:t>5.4.3 Argent</w:t>
            </w:r>
            <w:r>
              <w:rPr>
                <w:noProof/>
              </w:rPr>
              <w:tab/>
            </w:r>
            <w:r>
              <w:rPr>
                <w:noProof/>
              </w:rPr>
              <w:fldChar w:fldCharType="begin"/>
            </w:r>
            <w:r>
              <w:rPr>
                <w:noProof/>
              </w:rPr>
              <w:instrText xml:space="preserve"> PAGEREF _Toc215817678 \h </w:instrText>
            </w:r>
            <w:r>
              <w:rPr>
                <w:noProof/>
              </w:rPr>
            </w:r>
            <w:r>
              <w:rPr>
                <w:noProof/>
              </w:rPr>
              <w:fldChar w:fldCharType="separate"/>
            </w:r>
            <w:r>
              <w:rPr>
                <w:noProof/>
              </w:rPr>
              <w:t>15</w:t>
            </w:r>
            <w:r>
              <w:rPr>
                <w:noProof/>
              </w:rPr>
              <w:fldChar w:fldCharType="end"/>
            </w:r>
          </w:hyperlink>
        </w:p>
        <w:p w14:paraId="07674545" w14:textId="77777777" w:rsidR="00B97E2E" w:rsidRDefault="00B97E2E">
          <w:pPr>
            <w:pStyle w:val="TOC2"/>
            <w:tabs>
              <w:tab w:val="right" w:leader="dot" w:pos="9016"/>
            </w:tabs>
            <w:rPr>
              <w:noProof/>
            </w:rPr>
          </w:pPr>
          <w:hyperlink w:anchor="_Toc215817679" w:history="1">
            <w:r w:rsidRPr="00DA2A22">
              <w:rPr>
                <w:rStyle w:val="Hyperlink"/>
                <w:noProof/>
              </w:rPr>
              <w:t>5.5 Infrastructure Development</w:t>
            </w:r>
            <w:r>
              <w:rPr>
                <w:noProof/>
              </w:rPr>
              <w:tab/>
            </w:r>
            <w:r>
              <w:rPr>
                <w:noProof/>
              </w:rPr>
              <w:fldChar w:fldCharType="begin"/>
            </w:r>
            <w:r>
              <w:rPr>
                <w:noProof/>
              </w:rPr>
              <w:instrText xml:space="preserve"> PAGEREF _Toc215817679 \h </w:instrText>
            </w:r>
            <w:r>
              <w:rPr>
                <w:noProof/>
              </w:rPr>
            </w:r>
            <w:r>
              <w:rPr>
                <w:noProof/>
              </w:rPr>
              <w:fldChar w:fldCharType="separate"/>
            </w:r>
            <w:r>
              <w:rPr>
                <w:noProof/>
              </w:rPr>
              <w:t>15</w:t>
            </w:r>
            <w:r>
              <w:rPr>
                <w:noProof/>
              </w:rPr>
              <w:fldChar w:fldCharType="end"/>
            </w:r>
          </w:hyperlink>
        </w:p>
        <w:p w14:paraId="1FD926C9" w14:textId="77777777" w:rsidR="00B97E2E" w:rsidRDefault="00B97E2E">
          <w:pPr>
            <w:pStyle w:val="TOC1"/>
            <w:tabs>
              <w:tab w:val="right" w:leader="dot" w:pos="9016"/>
            </w:tabs>
            <w:rPr>
              <w:noProof/>
            </w:rPr>
          </w:pPr>
          <w:hyperlink w:anchor="_Toc215817680" w:history="1">
            <w:r w:rsidRPr="00DA2A22">
              <w:rPr>
                <w:rStyle w:val="Hyperlink"/>
                <w:noProof/>
              </w:rPr>
              <w:t>6. Bitcoin Taproot: Schnorr Signatures and Script Privacy</w:t>
            </w:r>
            <w:r>
              <w:rPr>
                <w:noProof/>
              </w:rPr>
              <w:tab/>
            </w:r>
            <w:r>
              <w:rPr>
                <w:noProof/>
              </w:rPr>
              <w:fldChar w:fldCharType="begin"/>
            </w:r>
            <w:r>
              <w:rPr>
                <w:noProof/>
              </w:rPr>
              <w:instrText xml:space="preserve"> PAGEREF _Toc215817680 \h </w:instrText>
            </w:r>
            <w:r>
              <w:rPr>
                <w:noProof/>
              </w:rPr>
            </w:r>
            <w:r>
              <w:rPr>
                <w:noProof/>
              </w:rPr>
              <w:fldChar w:fldCharType="separate"/>
            </w:r>
            <w:r>
              <w:rPr>
                <w:noProof/>
              </w:rPr>
              <w:t>17</w:t>
            </w:r>
            <w:r>
              <w:rPr>
                <w:noProof/>
              </w:rPr>
              <w:fldChar w:fldCharType="end"/>
            </w:r>
          </w:hyperlink>
        </w:p>
        <w:p w14:paraId="68B1A1C4" w14:textId="77777777" w:rsidR="00B97E2E" w:rsidRDefault="00B97E2E">
          <w:pPr>
            <w:pStyle w:val="TOC2"/>
            <w:tabs>
              <w:tab w:val="right" w:leader="dot" w:pos="9016"/>
            </w:tabs>
            <w:rPr>
              <w:noProof/>
            </w:rPr>
          </w:pPr>
          <w:hyperlink w:anchor="_Toc215817681" w:history="1">
            <w:r w:rsidRPr="00DA2A22">
              <w:rPr>
                <w:rStyle w:val="Hyperlink"/>
                <w:noProof/>
              </w:rPr>
              <w:t>6.1 Activation and Overview</w:t>
            </w:r>
            <w:r>
              <w:rPr>
                <w:noProof/>
              </w:rPr>
              <w:tab/>
            </w:r>
            <w:r>
              <w:rPr>
                <w:noProof/>
              </w:rPr>
              <w:fldChar w:fldCharType="begin"/>
            </w:r>
            <w:r>
              <w:rPr>
                <w:noProof/>
              </w:rPr>
              <w:instrText xml:space="preserve"> PAGEREF _Toc215817681 \h </w:instrText>
            </w:r>
            <w:r>
              <w:rPr>
                <w:noProof/>
              </w:rPr>
            </w:r>
            <w:r>
              <w:rPr>
                <w:noProof/>
              </w:rPr>
              <w:fldChar w:fldCharType="separate"/>
            </w:r>
            <w:r>
              <w:rPr>
                <w:noProof/>
              </w:rPr>
              <w:t>17</w:t>
            </w:r>
            <w:r>
              <w:rPr>
                <w:noProof/>
              </w:rPr>
              <w:fldChar w:fldCharType="end"/>
            </w:r>
          </w:hyperlink>
        </w:p>
        <w:p w14:paraId="0197D79D" w14:textId="77777777" w:rsidR="00B97E2E" w:rsidRDefault="00B97E2E">
          <w:pPr>
            <w:pStyle w:val="TOC2"/>
            <w:tabs>
              <w:tab w:val="right" w:leader="dot" w:pos="9016"/>
            </w:tabs>
            <w:rPr>
              <w:noProof/>
            </w:rPr>
          </w:pPr>
          <w:hyperlink w:anchor="_Toc215817682" w:history="1">
            <w:r w:rsidRPr="00DA2A22">
              <w:rPr>
                <w:rStyle w:val="Hyperlink"/>
                <w:noProof/>
              </w:rPr>
              <w:t>6.2 BIP-340: Schnorr Signatures</w:t>
            </w:r>
            <w:r>
              <w:rPr>
                <w:noProof/>
              </w:rPr>
              <w:tab/>
            </w:r>
            <w:r>
              <w:rPr>
                <w:noProof/>
              </w:rPr>
              <w:fldChar w:fldCharType="begin"/>
            </w:r>
            <w:r>
              <w:rPr>
                <w:noProof/>
              </w:rPr>
              <w:instrText xml:space="preserve"> PAGEREF _Toc215817682 \h </w:instrText>
            </w:r>
            <w:r>
              <w:rPr>
                <w:noProof/>
              </w:rPr>
            </w:r>
            <w:r>
              <w:rPr>
                <w:noProof/>
              </w:rPr>
              <w:fldChar w:fldCharType="separate"/>
            </w:r>
            <w:r>
              <w:rPr>
                <w:noProof/>
              </w:rPr>
              <w:t>17</w:t>
            </w:r>
            <w:r>
              <w:rPr>
                <w:noProof/>
              </w:rPr>
              <w:fldChar w:fldCharType="end"/>
            </w:r>
          </w:hyperlink>
        </w:p>
        <w:p w14:paraId="39375BBB" w14:textId="77777777" w:rsidR="00B97E2E" w:rsidRDefault="00B97E2E">
          <w:pPr>
            <w:pStyle w:val="TOC2"/>
            <w:tabs>
              <w:tab w:val="right" w:leader="dot" w:pos="9016"/>
            </w:tabs>
            <w:rPr>
              <w:noProof/>
            </w:rPr>
          </w:pPr>
          <w:hyperlink w:anchor="_Toc215817683" w:history="1">
            <w:r w:rsidRPr="00DA2A22">
              <w:rPr>
                <w:rStyle w:val="Hyperlink"/>
                <w:noProof/>
              </w:rPr>
              <w:t>6.3 BIP-341: Taproot Construction</w:t>
            </w:r>
            <w:r>
              <w:rPr>
                <w:noProof/>
              </w:rPr>
              <w:tab/>
            </w:r>
            <w:r>
              <w:rPr>
                <w:noProof/>
              </w:rPr>
              <w:fldChar w:fldCharType="begin"/>
            </w:r>
            <w:r>
              <w:rPr>
                <w:noProof/>
              </w:rPr>
              <w:instrText xml:space="preserve"> PAGEREF _Toc215817683 \h </w:instrText>
            </w:r>
            <w:r>
              <w:rPr>
                <w:noProof/>
              </w:rPr>
            </w:r>
            <w:r>
              <w:rPr>
                <w:noProof/>
              </w:rPr>
              <w:fldChar w:fldCharType="separate"/>
            </w:r>
            <w:r>
              <w:rPr>
                <w:noProof/>
              </w:rPr>
              <w:t>17</w:t>
            </w:r>
            <w:r>
              <w:rPr>
                <w:noProof/>
              </w:rPr>
              <w:fldChar w:fldCharType="end"/>
            </w:r>
          </w:hyperlink>
        </w:p>
        <w:p w14:paraId="1BC6E988" w14:textId="77777777" w:rsidR="00B97E2E" w:rsidRDefault="00B97E2E">
          <w:pPr>
            <w:pStyle w:val="TOC2"/>
            <w:tabs>
              <w:tab w:val="right" w:leader="dot" w:pos="9016"/>
            </w:tabs>
            <w:rPr>
              <w:noProof/>
            </w:rPr>
          </w:pPr>
          <w:hyperlink w:anchor="_Toc215817684" w:history="1">
            <w:r w:rsidRPr="00DA2A22">
              <w:rPr>
                <w:rStyle w:val="Hyperlink"/>
                <w:noProof/>
              </w:rPr>
              <w:t>6.4 BIP-342: Tapscript</w:t>
            </w:r>
            <w:r>
              <w:rPr>
                <w:noProof/>
              </w:rPr>
              <w:tab/>
            </w:r>
            <w:r>
              <w:rPr>
                <w:noProof/>
              </w:rPr>
              <w:fldChar w:fldCharType="begin"/>
            </w:r>
            <w:r>
              <w:rPr>
                <w:noProof/>
              </w:rPr>
              <w:instrText xml:space="preserve"> PAGEREF _Toc215817684 \h </w:instrText>
            </w:r>
            <w:r>
              <w:rPr>
                <w:noProof/>
              </w:rPr>
            </w:r>
            <w:r>
              <w:rPr>
                <w:noProof/>
              </w:rPr>
              <w:fldChar w:fldCharType="separate"/>
            </w:r>
            <w:r>
              <w:rPr>
                <w:noProof/>
              </w:rPr>
              <w:t>18</w:t>
            </w:r>
            <w:r>
              <w:rPr>
                <w:noProof/>
              </w:rPr>
              <w:fldChar w:fldCharType="end"/>
            </w:r>
          </w:hyperlink>
        </w:p>
        <w:p w14:paraId="38F9C81E" w14:textId="77777777" w:rsidR="00B97E2E" w:rsidRDefault="00B97E2E">
          <w:pPr>
            <w:pStyle w:val="TOC2"/>
            <w:tabs>
              <w:tab w:val="right" w:leader="dot" w:pos="9016"/>
            </w:tabs>
            <w:rPr>
              <w:noProof/>
            </w:rPr>
          </w:pPr>
          <w:hyperlink w:anchor="_Toc215817685" w:history="1">
            <w:r w:rsidRPr="00DA2A22">
              <w:rPr>
                <w:rStyle w:val="Hyperlink"/>
                <w:noProof/>
              </w:rPr>
              <w:t>6.5 Practical Implications for Wallets</w:t>
            </w:r>
            <w:r>
              <w:rPr>
                <w:noProof/>
              </w:rPr>
              <w:tab/>
            </w:r>
            <w:r>
              <w:rPr>
                <w:noProof/>
              </w:rPr>
              <w:fldChar w:fldCharType="begin"/>
            </w:r>
            <w:r>
              <w:rPr>
                <w:noProof/>
              </w:rPr>
              <w:instrText xml:space="preserve"> PAGEREF _Toc215817685 \h </w:instrText>
            </w:r>
            <w:r>
              <w:rPr>
                <w:noProof/>
              </w:rPr>
            </w:r>
            <w:r>
              <w:rPr>
                <w:noProof/>
              </w:rPr>
              <w:fldChar w:fldCharType="separate"/>
            </w:r>
            <w:r>
              <w:rPr>
                <w:noProof/>
              </w:rPr>
              <w:t>18</w:t>
            </w:r>
            <w:r>
              <w:rPr>
                <w:noProof/>
              </w:rPr>
              <w:fldChar w:fldCharType="end"/>
            </w:r>
          </w:hyperlink>
        </w:p>
        <w:p w14:paraId="617F0C33" w14:textId="77777777" w:rsidR="00B97E2E" w:rsidRDefault="00B97E2E">
          <w:pPr>
            <w:pStyle w:val="TOC1"/>
            <w:tabs>
              <w:tab w:val="right" w:leader="dot" w:pos="9016"/>
            </w:tabs>
            <w:rPr>
              <w:noProof/>
            </w:rPr>
          </w:pPr>
          <w:hyperlink w:anchor="_Toc215817686" w:history="1">
            <w:r w:rsidRPr="00DA2A22">
              <w:rPr>
                <w:rStyle w:val="Hyperlink"/>
                <w:noProof/>
              </w:rPr>
              <w:t>7. Hardware Wallet Security Architecture</w:t>
            </w:r>
            <w:r>
              <w:rPr>
                <w:noProof/>
              </w:rPr>
              <w:tab/>
            </w:r>
            <w:r>
              <w:rPr>
                <w:noProof/>
              </w:rPr>
              <w:fldChar w:fldCharType="begin"/>
            </w:r>
            <w:r>
              <w:rPr>
                <w:noProof/>
              </w:rPr>
              <w:instrText xml:space="preserve"> PAGEREF _Toc215817686 \h </w:instrText>
            </w:r>
            <w:r>
              <w:rPr>
                <w:noProof/>
              </w:rPr>
            </w:r>
            <w:r>
              <w:rPr>
                <w:noProof/>
              </w:rPr>
              <w:fldChar w:fldCharType="separate"/>
            </w:r>
            <w:r>
              <w:rPr>
                <w:noProof/>
              </w:rPr>
              <w:t>19</w:t>
            </w:r>
            <w:r>
              <w:rPr>
                <w:noProof/>
              </w:rPr>
              <w:fldChar w:fldCharType="end"/>
            </w:r>
          </w:hyperlink>
        </w:p>
        <w:p w14:paraId="6203F08B" w14:textId="77777777" w:rsidR="00B97E2E" w:rsidRDefault="00B97E2E">
          <w:pPr>
            <w:pStyle w:val="TOC2"/>
            <w:tabs>
              <w:tab w:val="right" w:leader="dot" w:pos="9016"/>
            </w:tabs>
            <w:rPr>
              <w:noProof/>
            </w:rPr>
          </w:pPr>
          <w:hyperlink w:anchor="_Toc215817687" w:history="1">
            <w:r w:rsidRPr="00DA2A22">
              <w:rPr>
                <w:rStyle w:val="Hyperlink"/>
                <w:noProof/>
              </w:rPr>
              <w:t>7.1 Security Rationale and Threat Model</w:t>
            </w:r>
            <w:r>
              <w:rPr>
                <w:noProof/>
              </w:rPr>
              <w:tab/>
            </w:r>
            <w:r>
              <w:rPr>
                <w:noProof/>
              </w:rPr>
              <w:fldChar w:fldCharType="begin"/>
            </w:r>
            <w:r>
              <w:rPr>
                <w:noProof/>
              </w:rPr>
              <w:instrText xml:space="preserve"> PAGEREF _Toc215817687 \h </w:instrText>
            </w:r>
            <w:r>
              <w:rPr>
                <w:noProof/>
              </w:rPr>
            </w:r>
            <w:r>
              <w:rPr>
                <w:noProof/>
              </w:rPr>
              <w:fldChar w:fldCharType="separate"/>
            </w:r>
            <w:r>
              <w:rPr>
                <w:noProof/>
              </w:rPr>
              <w:t>19</w:t>
            </w:r>
            <w:r>
              <w:rPr>
                <w:noProof/>
              </w:rPr>
              <w:fldChar w:fldCharType="end"/>
            </w:r>
          </w:hyperlink>
        </w:p>
        <w:p w14:paraId="4C2FF38A" w14:textId="77777777" w:rsidR="00B97E2E" w:rsidRDefault="00B97E2E">
          <w:pPr>
            <w:pStyle w:val="TOC2"/>
            <w:tabs>
              <w:tab w:val="right" w:leader="dot" w:pos="9016"/>
            </w:tabs>
            <w:rPr>
              <w:noProof/>
            </w:rPr>
          </w:pPr>
          <w:hyperlink w:anchor="_Toc215817688" w:history="1">
            <w:r w:rsidRPr="00DA2A22">
              <w:rPr>
                <w:rStyle w:val="Hyperlink"/>
                <w:noProof/>
              </w:rPr>
              <w:t>7.2 Common Criteria Evaluation Assurance Levels</w:t>
            </w:r>
            <w:r>
              <w:rPr>
                <w:noProof/>
              </w:rPr>
              <w:tab/>
            </w:r>
            <w:r>
              <w:rPr>
                <w:noProof/>
              </w:rPr>
              <w:fldChar w:fldCharType="begin"/>
            </w:r>
            <w:r>
              <w:rPr>
                <w:noProof/>
              </w:rPr>
              <w:instrText xml:space="preserve"> PAGEREF _Toc215817688 \h </w:instrText>
            </w:r>
            <w:r>
              <w:rPr>
                <w:noProof/>
              </w:rPr>
            </w:r>
            <w:r>
              <w:rPr>
                <w:noProof/>
              </w:rPr>
              <w:fldChar w:fldCharType="separate"/>
            </w:r>
            <w:r>
              <w:rPr>
                <w:noProof/>
              </w:rPr>
              <w:t>19</w:t>
            </w:r>
            <w:r>
              <w:rPr>
                <w:noProof/>
              </w:rPr>
              <w:fldChar w:fldCharType="end"/>
            </w:r>
          </w:hyperlink>
        </w:p>
        <w:p w14:paraId="669ED650" w14:textId="77777777" w:rsidR="00B97E2E" w:rsidRDefault="00B97E2E">
          <w:pPr>
            <w:pStyle w:val="TOC3"/>
            <w:tabs>
              <w:tab w:val="right" w:leader="dot" w:pos="9016"/>
            </w:tabs>
            <w:rPr>
              <w:noProof/>
            </w:rPr>
          </w:pPr>
          <w:hyperlink w:anchor="_Toc215817689" w:history="1">
            <w:r w:rsidRPr="00DA2A22">
              <w:rPr>
                <w:rStyle w:val="Hyperlink"/>
                <w:noProof/>
              </w:rPr>
              <w:t>7.2.1 EAL5+ Certified Devices</w:t>
            </w:r>
            <w:r>
              <w:rPr>
                <w:noProof/>
              </w:rPr>
              <w:tab/>
            </w:r>
            <w:r>
              <w:rPr>
                <w:noProof/>
              </w:rPr>
              <w:fldChar w:fldCharType="begin"/>
            </w:r>
            <w:r>
              <w:rPr>
                <w:noProof/>
              </w:rPr>
              <w:instrText xml:space="preserve"> PAGEREF _Toc215817689 \h </w:instrText>
            </w:r>
            <w:r>
              <w:rPr>
                <w:noProof/>
              </w:rPr>
            </w:r>
            <w:r>
              <w:rPr>
                <w:noProof/>
              </w:rPr>
              <w:fldChar w:fldCharType="separate"/>
            </w:r>
            <w:r>
              <w:rPr>
                <w:noProof/>
              </w:rPr>
              <w:t>19</w:t>
            </w:r>
            <w:r>
              <w:rPr>
                <w:noProof/>
              </w:rPr>
              <w:fldChar w:fldCharType="end"/>
            </w:r>
          </w:hyperlink>
        </w:p>
        <w:p w14:paraId="7690AB74" w14:textId="77777777" w:rsidR="00B97E2E" w:rsidRDefault="00B97E2E">
          <w:pPr>
            <w:pStyle w:val="TOC3"/>
            <w:tabs>
              <w:tab w:val="right" w:leader="dot" w:pos="9016"/>
            </w:tabs>
            <w:rPr>
              <w:noProof/>
            </w:rPr>
          </w:pPr>
          <w:hyperlink w:anchor="_Toc215817690" w:history="1">
            <w:r w:rsidRPr="00DA2A22">
              <w:rPr>
                <w:rStyle w:val="Hyperlink"/>
                <w:noProof/>
              </w:rPr>
              <w:t>7.2.2 EAL6+ Certified Devices</w:t>
            </w:r>
            <w:r>
              <w:rPr>
                <w:noProof/>
              </w:rPr>
              <w:tab/>
            </w:r>
            <w:r>
              <w:rPr>
                <w:noProof/>
              </w:rPr>
              <w:fldChar w:fldCharType="begin"/>
            </w:r>
            <w:r>
              <w:rPr>
                <w:noProof/>
              </w:rPr>
              <w:instrText xml:space="preserve"> PAGEREF _Toc215817690 \h </w:instrText>
            </w:r>
            <w:r>
              <w:rPr>
                <w:noProof/>
              </w:rPr>
            </w:r>
            <w:r>
              <w:rPr>
                <w:noProof/>
              </w:rPr>
              <w:fldChar w:fldCharType="separate"/>
            </w:r>
            <w:r>
              <w:rPr>
                <w:noProof/>
              </w:rPr>
              <w:t>19</w:t>
            </w:r>
            <w:r>
              <w:rPr>
                <w:noProof/>
              </w:rPr>
              <w:fldChar w:fldCharType="end"/>
            </w:r>
          </w:hyperlink>
        </w:p>
        <w:p w14:paraId="270E6CAA" w14:textId="77777777" w:rsidR="00B97E2E" w:rsidRDefault="00B97E2E">
          <w:pPr>
            <w:pStyle w:val="TOC3"/>
            <w:tabs>
              <w:tab w:val="right" w:leader="dot" w:pos="9016"/>
            </w:tabs>
            <w:rPr>
              <w:noProof/>
            </w:rPr>
          </w:pPr>
          <w:hyperlink w:anchor="_Toc215817691" w:history="1">
            <w:r w:rsidRPr="00DA2A22">
              <w:rPr>
                <w:rStyle w:val="Hyperlink"/>
                <w:noProof/>
              </w:rPr>
              <w:t>7.2.3 EAL7 Certification</w:t>
            </w:r>
            <w:r>
              <w:rPr>
                <w:noProof/>
              </w:rPr>
              <w:tab/>
            </w:r>
            <w:r>
              <w:rPr>
                <w:noProof/>
              </w:rPr>
              <w:fldChar w:fldCharType="begin"/>
            </w:r>
            <w:r>
              <w:rPr>
                <w:noProof/>
              </w:rPr>
              <w:instrText xml:space="preserve"> PAGEREF _Toc215817691 \h </w:instrText>
            </w:r>
            <w:r>
              <w:rPr>
                <w:noProof/>
              </w:rPr>
            </w:r>
            <w:r>
              <w:rPr>
                <w:noProof/>
              </w:rPr>
              <w:fldChar w:fldCharType="separate"/>
            </w:r>
            <w:r>
              <w:rPr>
                <w:noProof/>
              </w:rPr>
              <w:t>20</w:t>
            </w:r>
            <w:r>
              <w:rPr>
                <w:noProof/>
              </w:rPr>
              <w:fldChar w:fldCharType="end"/>
            </w:r>
          </w:hyperlink>
        </w:p>
        <w:p w14:paraId="6F6B8268" w14:textId="77777777" w:rsidR="00B97E2E" w:rsidRDefault="00B97E2E">
          <w:pPr>
            <w:pStyle w:val="TOC2"/>
            <w:tabs>
              <w:tab w:val="right" w:leader="dot" w:pos="9016"/>
            </w:tabs>
            <w:rPr>
              <w:noProof/>
            </w:rPr>
          </w:pPr>
          <w:hyperlink w:anchor="_Toc215817692" w:history="1">
            <w:r w:rsidRPr="00DA2A22">
              <w:rPr>
                <w:rStyle w:val="Hyperlink"/>
                <w:noProof/>
              </w:rPr>
              <w:t>7.3 Secure Element Architectures</w:t>
            </w:r>
            <w:r>
              <w:rPr>
                <w:noProof/>
              </w:rPr>
              <w:tab/>
            </w:r>
            <w:r>
              <w:rPr>
                <w:noProof/>
              </w:rPr>
              <w:fldChar w:fldCharType="begin"/>
            </w:r>
            <w:r>
              <w:rPr>
                <w:noProof/>
              </w:rPr>
              <w:instrText xml:space="preserve"> PAGEREF _Toc215817692 \h </w:instrText>
            </w:r>
            <w:r>
              <w:rPr>
                <w:noProof/>
              </w:rPr>
            </w:r>
            <w:r>
              <w:rPr>
                <w:noProof/>
              </w:rPr>
              <w:fldChar w:fldCharType="separate"/>
            </w:r>
            <w:r>
              <w:rPr>
                <w:noProof/>
              </w:rPr>
              <w:t>20</w:t>
            </w:r>
            <w:r>
              <w:rPr>
                <w:noProof/>
              </w:rPr>
              <w:fldChar w:fldCharType="end"/>
            </w:r>
          </w:hyperlink>
        </w:p>
        <w:p w14:paraId="0A76C905" w14:textId="77777777" w:rsidR="00B97E2E" w:rsidRDefault="00B97E2E">
          <w:pPr>
            <w:pStyle w:val="TOC2"/>
            <w:tabs>
              <w:tab w:val="right" w:leader="dot" w:pos="9016"/>
            </w:tabs>
            <w:rPr>
              <w:noProof/>
            </w:rPr>
          </w:pPr>
          <w:hyperlink w:anchor="_Toc215817693" w:history="1">
            <w:r w:rsidRPr="00DA2A22">
              <w:rPr>
                <w:rStyle w:val="Hyperlink"/>
                <w:noProof/>
              </w:rPr>
              <w:t>7.4 Air-Gapped Operations</w:t>
            </w:r>
            <w:r>
              <w:rPr>
                <w:noProof/>
              </w:rPr>
              <w:tab/>
            </w:r>
            <w:r>
              <w:rPr>
                <w:noProof/>
              </w:rPr>
              <w:fldChar w:fldCharType="begin"/>
            </w:r>
            <w:r>
              <w:rPr>
                <w:noProof/>
              </w:rPr>
              <w:instrText xml:space="preserve"> PAGEREF _Toc215817693 \h </w:instrText>
            </w:r>
            <w:r>
              <w:rPr>
                <w:noProof/>
              </w:rPr>
            </w:r>
            <w:r>
              <w:rPr>
                <w:noProof/>
              </w:rPr>
              <w:fldChar w:fldCharType="separate"/>
            </w:r>
            <w:r>
              <w:rPr>
                <w:noProof/>
              </w:rPr>
              <w:t>20</w:t>
            </w:r>
            <w:r>
              <w:rPr>
                <w:noProof/>
              </w:rPr>
              <w:fldChar w:fldCharType="end"/>
            </w:r>
          </w:hyperlink>
        </w:p>
        <w:p w14:paraId="0A0A7466" w14:textId="77777777" w:rsidR="00B97E2E" w:rsidRDefault="00B97E2E">
          <w:pPr>
            <w:pStyle w:val="TOC2"/>
            <w:tabs>
              <w:tab w:val="right" w:leader="dot" w:pos="9016"/>
            </w:tabs>
            <w:rPr>
              <w:noProof/>
            </w:rPr>
          </w:pPr>
          <w:hyperlink w:anchor="_Toc215817694" w:history="1">
            <w:r w:rsidRPr="00DA2A22">
              <w:rPr>
                <w:rStyle w:val="Hyperlink"/>
                <w:noProof/>
              </w:rPr>
              <w:t>7.5 Post-Quantum Considerations</w:t>
            </w:r>
            <w:r>
              <w:rPr>
                <w:noProof/>
              </w:rPr>
              <w:tab/>
            </w:r>
            <w:r>
              <w:rPr>
                <w:noProof/>
              </w:rPr>
              <w:fldChar w:fldCharType="begin"/>
            </w:r>
            <w:r>
              <w:rPr>
                <w:noProof/>
              </w:rPr>
              <w:instrText xml:space="preserve"> PAGEREF _Toc215817694 \h </w:instrText>
            </w:r>
            <w:r>
              <w:rPr>
                <w:noProof/>
              </w:rPr>
            </w:r>
            <w:r>
              <w:rPr>
                <w:noProof/>
              </w:rPr>
              <w:fldChar w:fldCharType="separate"/>
            </w:r>
            <w:r>
              <w:rPr>
                <w:noProof/>
              </w:rPr>
              <w:t>21</w:t>
            </w:r>
            <w:r>
              <w:rPr>
                <w:noProof/>
              </w:rPr>
              <w:fldChar w:fldCharType="end"/>
            </w:r>
          </w:hyperlink>
        </w:p>
        <w:p w14:paraId="4E202DA4" w14:textId="77777777" w:rsidR="00B97E2E" w:rsidRDefault="00B97E2E">
          <w:pPr>
            <w:pStyle w:val="TOC1"/>
            <w:tabs>
              <w:tab w:val="right" w:leader="dot" w:pos="9016"/>
            </w:tabs>
            <w:rPr>
              <w:noProof/>
            </w:rPr>
          </w:pPr>
          <w:hyperlink w:anchor="_Toc215817695" w:history="1">
            <w:r w:rsidRPr="00DA2A22">
              <w:rPr>
                <w:rStyle w:val="Hyperlink"/>
                <w:noProof/>
              </w:rPr>
              <w:t>8. Social Recovery Mechanisms</w:t>
            </w:r>
            <w:r>
              <w:rPr>
                <w:noProof/>
              </w:rPr>
              <w:tab/>
            </w:r>
            <w:r>
              <w:rPr>
                <w:noProof/>
              </w:rPr>
              <w:fldChar w:fldCharType="begin"/>
            </w:r>
            <w:r>
              <w:rPr>
                <w:noProof/>
              </w:rPr>
              <w:instrText xml:space="preserve"> PAGEREF _Toc215817695 \h </w:instrText>
            </w:r>
            <w:r>
              <w:rPr>
                <w:noProof/>
              </w:rPr>
            </w:r>
            <w:r>
              <w:rPr>
                <w:noProof/>
              </w:rPr>
              <w:fldChar w:fldCharType="separate"/>
            </w:r>
            <w:r>
              <w:rPr>
                <w:noProof/>
              </w:rPr>
              <w:t>22</w:t>
            </w:r>
            <w:r>
              <w:rPr>
                <w:noProof/>
              </w:rPr>
              <w:fldChar w:fldCharType="end"/>
            </w:r>
          </w:hyperlink>
        </w:p>
        <w:p w14:paraId="4383DC72" w14:textId="77777777" w:rsidR="00B97E2E" w:rsidRDefault="00B97E2E">
          <w:pPr>
            <w:pStyle w:val="TOC2"/>
            <w:tabs>
              <w:tab w:val="right" w:leader="dot" w:pos="9016"/>
            </w:tabs>
            <w:rPr>
              <w:noProof/>
            </w:rPr>
          </w:pPr>
          <w:hyperlink w:anchor="_Toc215817696" w:history="1">
            <w:r w:rsidRPr="00DA2A22">
              <w:rPr>
                <w:rStyle w:val="Hyperlink"/>
                <w:noProof/>
              </w:rPr>
              <w:t>8.1 Conceptual Framework</w:t>
            </w:r>
            <w:r>
              <w:rPr>
                <w:noProof/>
              </w:rPr>
              <w:tab/>
            </w:r>
            <w:r>
              <w:rPr>
                <w:noProof/>
              </w:rPr>
              <w:fldChar w:fldCharType="begin"/>
            </w:r>
            <w:r>
              <w:rPr>
                <w:noProof/>
              </w:rPr>
              <w:instrText xml:space="preserve"> PAGEREF _Toc215817696 \h </w:instrText>
            </w:r>
            <w:r>
              <w:rPr>
                <w:noProof/>
              </w:rPr>
            </w:r>
            <w:r>
              <w:rPr>
                <w:noProof/>
              </w:rPr>
              <w:fldChar w:fldCharType="separate"/>
            </w:r>
            <w:r>
              <w:rPr>
                <w:noProof/>
              </w:rPr>
              <w:t>22</w:t>
            </w:r>
            <w:r>
              <w:rPr>
                <w:noProof/>
              </w:rPr>
              <w:fldChar w:fldCharType="end"/>
            </w:r>
          </w:hyperlink>
        </w:p>
        <w:p w14:paraId="34ACE286" w14:textId="77777777" w:rsidR="00B97E2E" w:rsidRDefault="00B97E2E">
          <w:pPr>
            <w:pStyle w:val="TOC2"/>
            <w:tabs>
              <w:tab w:val="right" w:leader="dot" w:pos="9016"/>
            </w:tabs>
            <w:rPr>
              <w:noProof/>
            </w:rPr>
          </w:pPr>
          <w:hyperlink w:anchor="_Toc215817697" w:history="1">
            <w:r w:rsidRPr="00DA2A22">
              <w:rPr>
                <w:rStyle w:val="Hyperlink"/>
                <w:noProof/>
              </w:rPr>
              <w:t>8.2 Guardian Selection and Architecture</w:t>
            </w:r>
            <w:r>
              <w:rPr>
                <w:noProof/>
              </w:rPr>
              <w:tab/>
            </w:r>
            <w:r>
              <w:rPr>
                <w:noProof/>
              </w:rPr>
              <w:fldChar w:fldCharType="begin"/>
            </w:r>
            <w:r>
              <w:rPr>
                <w:noProof/>
              </w:rPr>
              <w:instrText xml:space="preserve"> PAGEREF _Toc215817697 \h </w:instrText>
            </w:r>
            <w:r>
              <w:rPr>
                <w:noProof/>
              </w:rPr>
            </w:r>
            <w:r>
              <w:rPr>
                <w:noProof/>
              </w:rPr>
              <w:fldChar w:fldCharType="separate"/>
            </w:r>
            <w:r>
              <w:rPr>
                <w:noProof/>
              </w:rPr>
              <w:t>22</w:t>
            </w:r>
            <w:r>
              <w:rPr>
                <w:noProof/>
              </w:rPr>
              <w:fldChar w:fldCharType="end"/>
            </w:r>
          </w:hyperlink>
        </w:p>
        <w:p w14:paraId="677AF1BD" w14:textId="77777777" w:rsidR="00B97E2E" w:rsidRDefault="00B97E2E">
          <w:pPr>
            <w:pStyle w:val="TOC2"/>
            <w:tabs>
              <w:tab w:val="right" w:leader="dot" w:pos="9016"/>
            </w:tabs>
            <w:rPr>
              <w:noProof/>
            </w:rPr>
          </w:pPr>
          <w:hyperlink w:anchor="_Toc215817698" w:history="1">
            <w:r w:rsidRPr="00DA2A22">
              <w:rPr>
                <w:rStyle w:val="Hyperlink"/>
                <w:noProof/>
              </w:rPr>
              <w:t>8.3 Implementation Analysis</w:t>
            </w:r>
            <w:r>
              <w:rPr>
                <w:noProof/>
              </w:rPr>
              <w:tab/>
            </w:r>
            <w:r>
              <w:rPr>
                <w:noProof/>
              </w:rPr>
              <w:fldChar w:fldCharType="begin"/>
            </w:r>
            <w:r>
              <w:rPr>
                <w:noProof/>
              </w:rPr>
              <w:instrText xml:space="preserve"> PAGEREF _Toc215817698 \h </w:instrText>
            </w:r>
            <w:r>
              <w:rPr>
                <w:noProof/>
              </w:rPr>
            </w:r>
            <w:r>
              <w:rPr>
                <w:noProof/>
              </w:rPr>
              <w:fldChar w:fldCharType="separate"/>
            </w:r>
            <w:r>
              <w:rPr>
                <w:noProof/>
              </w:rPr>
              <w:t>22</w:t>
            </w:r>
            <w:r>
              <w:rPr>
                <w:noProof/>
              </w:rPr>
              <w:fldChar w:fldCharType="end"/>
            </w:r>
          </w:hyperlink>
        </w:p>
        <w:p w14:paraId="7298CF4D" w14:textId="77777777" w:rsidR="00B97E2E" w:rsidRDefault="00B97E2E">
          <w:pPr>
            <w:pStyle w:val="TOC3"/>
            <w:tabs>
              <w:tab w:val="right" w:leader="dot" w:pos="9016"/>
            </w:tabs>
            <w:rPr>
              <w:noProof/>
            </w:rPr>
          </w:pPr>
          <w:hyperlink w:anchor="_Toc215817699" w:history="1">
            <w:r w:rsidRPr="00DA2A22">
              <w:rPr>
                <w:rStyle w:val="Hyperlink"/>
                <w:noProof/>
              </w:rPr>
              <w:t>8.3.1 Argent Wallet</w:t>
            </w:r>
            <w:r>
              <w:rPr>
                <w:noProof/>
              </w:rPr>
              <w:tab/>
            </w:r>
            <w:r>
              <w:rPr>
                <w:noProof/>
              </w:rPr>
              <w:fldChar w:fldCharType="begin"/>
            </w:r>
            <w:r>
              <w:rPr>
                <w:noProof/>
              </w:rPr>
              <w:instrText xml:space="preserve"> PAGEREF _Toc215817699 \h </w:instrText>
            </w:r>
            <w:r>
              <w:rPr>
                <w:noProof/>
              </w:rPr>
            </w:r>
            <w:r>
              <w:rPr>
                <w:noProof/>
              </w:rPr>
              <w:fldChar w:fldCharType="separate"/>
            </w:r>
            <w:r>
              <w:rPr>
                <w:noProof/>
              </w:rPr>
              <w:t>22</w:t>
            </w:r>
            <w:r>
              <w:rPr>
                <w:noProof/>
              </w:rPr>
              <w:fldChar w:fldCharType="end"/>
            </w:r>
          </w:hyperlink>
        </w:p>
        <w:p w14:paraId="6B55AF89" w14:textId="77777777" w:rsidR="00B97E2E" w:rsidRDefault="00B97E2E">
          <w:pPr>
            <w:pStyle w:val="TOC3"/>
            <w:tabs>
              <w:tab w:val="right" w:leader="dot" w:pos="9016"/>
            </w:tabs>
            <w:rPr>
              <w:noProof/>
            </w:rPr>
          </w:pPr>
          <w:hyperlink w:anchor="_Toc215817700" w:history="1">
            <w:r w:rsidRPr="00DA2A22">
              <w:rPr>
                <w:rStyle w:val="Hyperlink"/>
                <w:noProof/>
              </w:rPr>
              <w:t>8.3.2 Loopring Wallet</w:t>
            </w:r>
            <w:r>
              <w:rPr>
                <w:noProof/>
              </w:rPr>
              <w:tab/>
            </w:r>
            <w:r>
              <w:rPr>
                <w:noProof/>
              </w:rPr>
              <w:fldChar w:fldCharType="begin"/>
            </w:r>
            <w:r>
              <w:rPr>
                <w:noProof/>
              </w:rPr>
              <w:instrText xml:space="preserve"> PAGEREF _Toc215817700 \h </w:instrText>
            </w:r>
            <w:r>
              <w:rPr>
                <w:noProof/>
              </w:rPr>
            </w:r>
            <w:r>
              <w:rPr>
                <w:noProof/>
              </w:rPr>
              <w:fldChar w:fldCharType="separate"/>
            </w:r>
            <w:r>
              <w:rPr>
                <w:noProof/>
              </w:rPr>
              <w:t>23</w:t>
            </w:r>
            <w:r>
              <w:rPr>
                <w:noProof/>
              </w:rPr>
              <w:fldChar w:fldCharType="end"/>
            </w:r>
          </w:hyperlink>
        </w:p>
        <w:p w14:paraId="513C10A2" w14:textId="77777777" w:rsidR="00B97E2E" w:rsidRDefault="00B97E2E">
          <w:pPr>
            <w:pStyle w:val="TOC3"/>
            <w:tabs>
              <w:tab w:val="right" w:leader="dot" w:pos="9016"/>
            </w:tabs>
            <w:rPr>
              <w:noProof/>
            </w:rPr>
          </w:pPr>
          <w:hyperlink w:anchor="_Toc215817701" w:history="1">
            <w:r w:rsidRPr="00DA2A22">
              <w:rPr>
                <w:rStyle w:val="Hyperlink"/>
                <w:noProof/>
              </w:rPr>
              <w:t>8.3.3 ZK-Email Recovery</w:t>
            </w:r>
            <w:r>
              <w:rPr>
                <w:noProof/>
              </w:rPr>
              <w:tab/>
            </w:r>
            <w:r>
              <w:rPr>
                <w:noProof/>
              </w:rPr>
              <w:fldChar w:fldCharType="begin"/>
            </w:r>
            <w:r>
              <w:rPr>
                <w:noProof/>
              </w:rPr>
              <w:instrText xml:space="preserve"> PAGEREF _Toc215817701 \h </w:instrText>
            </w:r>
            <w:r>
              <w:rPr>
                <w:noProof/>
              </w:rPr>
            </w:r>
            <w:r>
              <w:rPr>
                <w:noProof/>
              </w:rPr>
              <w:fldChar w:fldCharType="separate"/>
            </w:r>
            <w:r>
              <w:rPr>
                <w:noProof/>
              </w:rPr>
              <w:t>23</w:t>
            </w:r>
            <w:r>
              <w:rPr>
                <w:noProof/>
              </w:rPr>
              <w:fldChar w:fldCharType="end"/>
            </w:r>
          </w:hyperlink>
        </w:p>
        <w:p w14:paraId="0856E60E" w14:textId="77777777" w:rsidR="00B97E2E" w:rsidRDefault="00B97E2E">
          <w:pPr>
            <w:pStyle w:val="TOC2"/>
            <w:tabs>
              <w:tab w:val="right" w:leader="dot" w:pos="9016"/>
            </w:tabs>
            <w:rPr>
              <w:noProof/>
            </w:rPr>
          </w:pPr>
          <w:hyperlink w:anchor="_Toc215817702" w:history="1">
            <w:r w:rsidRPr="00DA2A22">
              <w:rPr>
                <w:rStyle w:val="Hyperlink"/>
                <w:noProof/>
              </w:rPr>
              <w:t>8.4 Security Considerations and Limitations</w:t>
            </w:r>
            <w:r>
              <w:rPr>
                <w:noProof/>
              </w:rPr>
              <w:tab/>
            </w:r>
            <w:r>
              <w:rPr>
                <w:noProof/>
              </w:rPr>
              <w:fldChar w:fldCharType="begin"/>
            </w:r>
            <w:r>
              <w:rPr>
                <w:noProof/>
              </w:rPr>
              <w:instrText xml:space="preserve"> PAGEREF _Toc215817702 \h </w:instrText>
            </w:r>
            <w:r>
              <w:rPr>
                <w:noProof/>
              </w:rPr>
            </w:r>
            <w:r>
              <w:rPr>
                <w:noProof/>
              </w:rPr>
              <w:fldChar w:fldCharType="separate"/>
            </w:r>
            <w:r>
              <w:rPr>
                <w:noProof/>
              </w:rPr>
              <w:t>23</w:t>
            </w:r>
            <w:r>
              <w:rPr>
                <w:noProof/>
              </w:rPr>
              <w:fldChar w:fldCharType="end"/>
            </w:r>
          </w:hyperlink>
        </w:p>
        <w:p w14:paraId="08C45A57" w14:textId="77777777" w:rsidR="00B97E2E" w:rsidRDefault="00B97E2E">
          <w:pPr>
            <w:pStyle w:val="TOC1"/>
            <w:tabs>
              <w:tab w:val="right" w:leader="dot" w:pos="9016"/>
            </w:tabs>
            <w:rPr>
              <w:noProof/>
            </w:rPr>
          </w:pPr>
          <w:hyperlink w:anchor="_Toc215817703" w:history="1">
            <w:r w:rsidRPr="00DA2A22">
              <w:rPr>
                <w:rStyle w:val="Hyperlink"/>
                <w:noProof/>
              </w:rPr>
              <w:t>9. Security Vulnerabilities and Major Incidents</w:t>
            </w:r>
            <w:r>
              <w:rPr>
                <w:noProof/>
              </w:rPr>
              <w:tab/>
            </w:r>
            <w:r>
              <w:rPr>
                <w:noProof/>
              </w:rPr>
              <w:fldChar w:fldCharType="begin"/>
            </w:r>
            <w:r>
              <w:rPr>
                <w:noProof/>
              </w:rPr>
              <w:instrText xml:space="preserve"> PAGEREF _Toc215817703 \h </w:instrText>
            </w:r>
            <w:r>
              <w:rPr>
                <w:noProof/>
              </w:rPr>
            </w:r>
            <w:r>
              <w:rPr>
                <w:noProof/>
              </w:rPr>
              <w:fldChar w:fldCharType="separate"/>
            </w:r>
            <w:r>
              <w:rPr>
                <w:noProof/>
              </w:rPr>
              <w:t>25</w:t>
            </w:r>
            <w:r>
              <w:rPr>
                <w:noProof/>
              </w:rPr>
              <w:fldChar w:fldCharType="end"/>
            </w:r>
          </w:hyperlink>
        </w:p>
        <w:p w14:paraId="6FCA785F" w14:textId="77777777" w:rsidR="00B97E2E" w:rsidRDefault="00B97E2E">
          <w:pPr>
            <w:pStyle w:val="TOC2"/>
            <w:tabs>
              <w:tab w:val="right" w:leader="dot" w:pos="9016"/>
            </w:tabs>
            <w:rPr>
              <w:noProof/>
            </w:rPr>
          </w:pPr>
          <w:hyperlink w:anchor="_Toc215817704" w:history="1">
            <w:r w:rsidRPr="00DA2A22">
              <w:rPr>
                <w:rStyle w:val="Hyperlink"/>
                <w:noProof/>
              </w:rPr>
              <w:t>9.1 2024 Incident Overview</w:t>
            </w:r>
            <w:r>
              <w:rPr>
                <w:noProof/>
              </w:rPr>
              <w:tab/>
            </w:r>
            <w:r>
              <w:rPr>
                <w:noProof/>
              </w:rPr>
              <w:fldChar w:fldCharType="begin"/>
            </w:r>
            <w:r>
              <w:rPr>
                <w:noProof/>
              </w:rPr>
              <w:instrText xml:space="preserve"> PAGEREF _Toc215817704 \h </w:instrText>
            </w:r>
            <w:r>
              <w:rPr>
                <w:noProof/>
              </w:rPr>
            </w:r>
            <w:r>
              <w:rPr>
                <w:noProof/>
              </w:rPr>
              <w:fldChar w:fldCharType="separate"/>
            </w:r>
            <w:r>
              <w:rPr>
                <w:noProof/>
              </w:rPr>
              <w:t>25</w:t>
            </w:r>
            <w:r>
              <w:rPr>
                <w:noProof/>
              </w:rPr>
              <w:fldChar w:fldCharType="end"/>
            </w:r>
          </w:hyperlink>
        </w:p>
        <w:p w14:paraId="4578BA44" w14:textId="77777777" w:rsidR="00B97E2E" w:rsidRDefault="00B97E2E">
          <w:pPr>
            <w:pStyle w:val="TOC2"/>
            <w:tabs>
              <w:tab w:val="right" w:leader="dot" w:pos="9016"/>
            </w:tabs>
            <w:rPr>
              <w:noProof/>
            </w:rPr>
          </w:pPr>
          <w:hyperlink w:anchor="_Toc215817705" w:history="1">
            <w:r w:rsidRPr="00DA2A22">
              <w:rPr>
                <w:rStyle w:val="Hyperlink"/>
                <w:noProof/>
              </w:rPr>
              <w:t>9.2 DMM Bitcoin Hack (May 2024)</w:t>
            </w:r>
            <w:r>
              <w:rPr>
                <w:noProof/>
              </w:rPr>
              <w:tab/>
            </w:r>
            <w:r>
              <w:rPr>
                <w:noProof/>
              </w:rPr>
              <w:fldChar w:fldCharType="begin"/>
            </w:r>
            <w:r>
              <w:rPr>
                <w:noProof/>
              </w:rPr>
              <w:instrText xml:space="preserve"> PAGEREF _Toc215817705 \h </w:instrText>
            </w:r>
            <w:r>
              <w:rPr>
                <w:noProof/>
              </w:rPr>
            </w:r>
            <w:r>
              <w:rPr>
                <w:noProof/>
              </w:rPr>
              <w:fldChar w:fldCharType="separate"/>
            </w:r>
            <w:r>
              <w:rPr>
                <w:noProof/>
              </w:rPr>
              <w:t>25</w:t>
            </w:r>
            <w:r>
              <w:rPr>
                <w:noProof/>
              </w:rPr>
              <w:fldChar w:fldCharType="end"/>
            </w:r>
          </w:hyperlink>
        </w:p>
        <w:p w14:paraId="438E8FF4" w14:textId="77777777" w:rsidR="00B97E2E" w:rsidRDefault="00B97E2E">
          <w:pPr>
            <w:pStyle w:val="TOC2"/>
            <w:tabs>
              <w:tab w:val="right" w:leader="dot" w:pos="9016"/>
            </w:tabs>
            <w:rPr>
              <w:noProof/>
            </w:rPr>
          </w:pPr>
          <w:hyperlink w:anchor="_Toc215817706" w:history="1">
            <w:r w:rsidRPr="00DA2A22">
              <w:rPr>
                <w:rStyle w:val="Hyperlink"/>
                <w:noProof/>
              </w:rPr>
              <w:t>9.3 WazirX Compromise (July 2024)</w:t>
            </w:r>
            <w:r>
              <w:rPr>
                <w:noProof/>
              </w:rPr>
              <w:tab/>
            </w:r>
            <w:r>
              <w:rPr>
                <w:noProof/>
              </w:rPr>
              <w:fldChar w:fldCharType="begin"/>
            </w:r>
            <w:r>
              <w:rPr>
                <w:noProof/>
              </w:rPr>
              <w:instrText xml:space="preserve"> PAGEREF _Toc215817706 \h </w:instrText>
            </w:r>
            <w:r>
              <w:rPr>
                <w:noProof/>
              </w:rPr>
            </w:r>
            <w:r>
              <w:rPr>
                <w:noProof/>
              </w:rPr>
              <w:fldChar w:fldCharType="separate"/>
            </w:r>
            <w:r>
              <w:rPr>
                <w:noProof/>
              </w:rPr>
              <w:t>25</w:t>
            </w:r>
            <w:r>
              <w:rPr>
                <w:noProof/>
              </w:rPr>
              <w:fldChar w:fldCharType="end"/>
            </w:r>
          </w:hyperlink>
        </w:p>
        <w:p w14:paraId="4F3567E5" w14:textId="77777777" w:rsidR="00B97E2E" w:rsidRDefault="00B97E2E">
          <w:pPr>
            <w:pStyle w:val="TOC2"/>
            <w:tabs>
              <w:tab w:val="right" w:leader="dot" w:pos="9016"/>
            </w:tabs>
            <w:rPr>
              <w:noProof/>
            </w:rPr>
          </w:pPr>
          <w:hyperlink w:anchor="_Toc215817707" w:history="1">
            <w:r w:rsidRPr="00DA2A22">
              <w:rPr>
                <w:rStyle w:val="Hyperlink"/>
                <w:noProof/>
              </w:rPr>
              <w:t>9.4 Loopring Social Recovery Exploitation (June 2024)</w:t>
            </w:r>
            <w:r>
              <w:rPr>
                <w:noProof/>
              </w:rPr>
              <w:tab/>
            </w:r>
            <w:r>
              <w:rPr>
                <w:noProof/>
              </w:rPr>
              <w:fldChar w:fldCharType="begin"/>
            </w:r>
            <w:r>
              <w:rPr>
                <w:noProof/>
              </w:rPr>
              <w:instrText xml:space="preserve"> PAGEREF _Toc215817707 \h </w:instrText>
            </w:r>
            <w:r>
              <w:rPr>
                <w:noProof/>
              </w:rPr>
            </w:r>
            <w:r>
              <w:rPr>
                <w:noProof/>
              </w:rPr>
              <w:fldChar w:fldCharType="separate"/>
            </w:r>
            <w:r>
              <w:rPr>
                <w:noProof/>
              </w:rPr>
              <w:t>26</w:t>
            </w:r>
            <w:r>
              <w:rPr>
                <w:noProof/>
              </w:rPr>
              <w:fldChar w:fldCharType="end"/>
            </w:r>
          </w:hyperlink>
        </w:p>
        <w:p w14:paraId="4EDF9761" w14:textId="77777777" w:rsidR="00B97E2E" w:rsidRDefault="00B97E2E">
          <w:pPr>
            <w:pStyle w:val="TOC2"/>
            <w:tabs>
              <w:tab w:val="right" w:leader="dot" w:pos="9016"/>
            </w:tabs>
            <w:rPr>
              <w:noProof/>
            </w:rPr>
          </w:pPr>
          <w:hyperlink w:anchor="_Toc215817708" w:history="1">
            <w:r w:rsidRPr="00DA2A22">
              <w:rPr>
                <w:rStyle w:val="Hyperlink"/>
                <w:noProof/>
              </w:rPr>
              <w:t>9.5 Radiant Capital Attack (October 2024)</w:t>
            </w:r>
            <w:r>
              <w:rPr>
                <w:noProof/>
              </w:rPr>
              <w:tab/>
            </w:r>
            <w:r>
              <w:rPr>
                <w:noProof/>
              </w:rPr>
              <w:fldChar w:fldCharType="begin"/>
            </w:r>
            <w:r>
              <w:rPr>
                <w:noProof/>
              </w:rPr>
              <w:instrText xml:space="preserve"> PAGEREF _Toc215817708 \h </w:instrText>
            </w:r>
            <w:r>
              <w:rPr>
                <w:noProof/>
              </w:rPr>
            </w:r>
            <w:r>
              <w:rPr>
                <w:noProof/>
              </w:rPr>
              <w:fldChar w:fldCharType="separate"/>
            </w:r>
            <w:r>
              <w:rPr>
                <w:noProof/>
              </w:rPr>
              <w:t>26</w:t>
            </w:r>
            <w:r>
              <w:rPr>
                <w:noProof/>
              </w:rPr>
              <w:fldChar w:fldCharType="end"/>
            </w:r>
          </w:hyperlink>
        </w:p>
        <w:p w14:paraId="72BF403F" w14:textId="77777777" w:rsidR="00B97E2E" w:rsidRDefault="00B97E2E">
          <w:pPr>
            <w:pStyle w:val="TOC2"/>
            <w:tabs>
              <w:tab w:val="right" w:leader="dot" w:pos="9016"/>
            </w:tabs>
            <w:rPr>
              <w:noProof/>
            </w:rPr>
          </w:pPr>
          <w:hyperlink w:anchor="_Toc215817709" w:history="1">
            <w:r w:rsidRPr="00DA2A22">
              <w:rPr>
                <w:rStyle w:val="Hyperlink"/>
                <w:noProof/>
              </w:rPr>
              <w:t>9.6 Systematic Vulnerability Analysis</w:t>
            </w:r>
            <w:r>
              <w:rPr>
                <w:noProof/>
              </w:rPr>
              <w:tab/>
            </w:r>
            <w:r>
              <w:rPr>
                <w:noProof/>
              </w:rPr>
              <w:fldChar w:fldCharType="begin"/>
            </w:r>
            <w:r>
              <w:rPr>
                <w:noProof/>
              </w:rPr>
              <w:instrText xml:space="preserve"> PAGEREF _Toc215817709 \h </w:instrText>
            </w:r>
            <w:r>
              <w:rPr>
                <w:noProof/>
              </w:rPr>
            </w:r>
            <w:r>
              <w:rPr>
                <w:noProof/>
              </w:rPr>
              <w:fldChar w:fldCharType="separate"/>
            </w:r>
            <w:r>
              <w:rPr>
                <w:noProof/>
              </w:rPr>
              <w:t>26</w:t>
            </w:r>
            <w:r>
              <w:rPr>
                <w:noProof/>
              </w:rPr>
              <w:fldChar w:fldCharType="end"/>
            </w:r>
          </w:hyperlink>
        </w:p>
        <w:p w14:paraId="2E10B330" w14:textId="77777777" w:rsidR="00B97E2E" w:rsidRDefault="00B97E2E">
          <w:pPr>
            <w:pStyle w:val="TOC1"/>
            <w:tabs>
              <w:tab w:val="right" w:leader="dot" w:pos="9016"/>
            </w:tabs>
            <w:rPr>
              <w:noProof/>
            </w:rPr>
          </w:pPr>
          <w:hyperlink w:anchor="_Toc215817710" w:history="1">
            <w:r w:rsidRPr="00DA2A22">
              <w:rPr>
                <w:rStyle w:val="Hyperlink"/>
                <w:noProof/>
              </w:rPr>
              <w:t>10. Post-Quantum Cryptography Migration</w:t>
            </w:r>
            <w:r>
              <w:rPr>
                <w:noProof/>
              </w:rPr>
              <w:tab/>
            </w:r>
            <w:r>
              <w:rPr>
                <w:noProof/>
              </w:rPr>
              <w:fldChar w:fldCharType="begin"/>
            </w:r>
            <w:r>
              <w:rPr>
                <w:noProof/>
              </w:rPr>
              <w:instrText xml:space="preserve"> PAGEREF _Toc215817710 \h </w:instrText>
            </w:r>
            <w:r>
              <w:rPr>
                <w:noProof/>
              </w:rPr>
            </w:r>
            <w:r>
              <w:rPr>
                <w:noProof/>
              </w:rPr>
              <w:fldChar w:fldCharType="separate"/>
            </w:r>
            <w:r>
              <w:rPr>
                <w:noProof/>
              </w:rPr>
              <w:t>28</w:t>
            </w:r>
            <w:r>
              <w:rPr>
                <w:noProof/>
              </w:rPr>
              <w:fldChar w:fldCharType="end"/>
            </w:r>
          </w:hyperlink>
        </w:p>
        <w:p w14:paraId="51B70D7B" w14:textId="77777777" w:rsidR="00B97E2E" w:rsidRDefault="00B97E2E">
          <w:pPr>
            <w:pStyle w:val="TOC2"/>
            <w:tabs>
              <w:tab w:val="right" w:leader="dot" w:pos="9016"/>
            </w:tabs>
            <w:rPr>
              <w:noProof/>
            </w:rPr>
          </w:pPr>
          <w:hyperlink w:anchor="_Toc215817711" w:history="1">
            <w:r w:rsidRPr="00DA2A22">
              <w:rPr>
                <w:rStyle w:val="Hyperlink"/>
                <w:noProof/>
              </w:rPr>
              <w:t>10.1 The Quantum Threat to Blockchain Cryptography</w:t>
            </w:r>
            <w:r>
              <w:rPr>
                <w:noProof/>
              </w:rPr>
              <w:tab/>
            </w:r>
            <w:r>
              <w:rPr>
                <w:noProof/>
              </w:rPr>
              <w:fldChar w:fldCharType="begin"/>
            </w:r>
            <w:r>
              <w:rPr>
                <w:noProof/>
              </w:rPr>
              <w:instrText xml:space="preserve"> PAGEREF _Toc215817711 \h </w:instrText>
            </w:r>
            <w:r>
              <w:rPr>
                <w:noProof/>
              </w:rPr>
            </w:r>
            <w:r>
              <w:rPr>
                <w:noProof/>
              </w:rPr>
              <w:fldChar w:fldCharType="separate"/>
            </w:r>
            <w:r>
              <w:rPr>
                <w:noProof/>
              </w:rPr>
              <w:t>28</w:t>
            </w:r>
            <w:r>
              <w:rPr>
                <w:noProof/>
              </w:rPr>
              <w:fldChar w:fldCharType="end"/>
            </w:r>
          </w:hyperlink>
        </w:p>
        <w:p w14:paraId="768D07BD" w14:textId="77777777" w:rsidR="00B97E2E" w:rsidRDefault="00B97E2E">
          <w:pPr>
            <w:pStyle w:val="TOC2"/>
            <w:tabs>
              <w:tab w:val="right" w:leader="dot" w:pos="9016"/>
            </w:tabs>
            <w:rPr>
              <w:noProof/>
            </w:rPr>
          </w:pPr>
          <w:hyperlink w:anchor="_Toc215817712" w:history="1">
            <w:r w:rsidRPr="00DA2A22">
              <w:rPr>
                <w:rStyle w:val="Hyperlink"/>
                <w:noProof/>
              </w:rPr>
              <w:t>10.2 NIST Post-Quantum Standardization</w:t>
            </w:r>
            <w:r>
              <w:rPr>
                <w:noProof/>
              </w:rPr>
              <w:tab/>
            </w:r>
            <w:r>
              <w:rPr>
                <w:noProof/>
              </w:rPr>
              <w:fldChar w:fldCharType="begin"/>
            </w:r>
            <w:r>
              <w:rPr>
                <w:noProof/>
              </w:rPr>
              <w:instrText xml:space="preserve"> PAGEREF _Toc215817712 \h </w:instrText>
            </w:r>
            <w:r>
              <w:rPr>
                <w:noProof/>
              </w:rPr>
            </w:r>
            <w:r>
              <w:rPr>
                <w:noProof/>
              </w:rPr>
              <w:fldChar w:fldCharType="separate"/>
            </w:r>
            <w:r>
              <w:rPr>
                <w:noProof/>
              </w:rPr>
              <w:t>28</w:t>
            </w:r>
            <w:r>
              <w:rPr>
                <w:noProof/>
              </w:rPr>
              <w:fldChar w:fldCharType="end"/>
            </w:r>
          </w:hyperlink>
        </w:p>
        <w:p w14:paraId="1B6ED89F" w14:textId="77777777" w:rsidR="00B97E2E" w:rsidRDefault="00B97E2E">
          <w:pPr>
            <w:pStyle w:val="TOC2"/>
            <w:tabs>
              <w:tab w:val="right" w:leader="dot" w:pos="9016"/>
            </w:tabs>
            <w:rPr>
              <w:noProof/>
            </w:rPr>
          </w:pPr>
          <w:hyperlink w:anchor="_Toc215817713" w:history="1">
            <w:r w:rsidRPr="00DA2A22">
              <w:rPr>
                <w:rStyle w:val="Hyperlink"/>
                <w:noProof/>
              </w:rPr>
              <w:t>10.3 Migration Timeline and Compliance Requirements</w:t>
            </w:r>
            <w:r>
              <w:rPr>
                <w:noProof/>
              </w:rPr>
              <w:tab/>
            </w:r>
            <w:r>
              <w:rPr>
                <w:noProof/>
              </w:rPr>
              <w:fldChar w:fldCharType="begin"/>
            </w:r>
            <w:r>
              <w:rPr>
                <w:noProof/>
              </w:rPr>
              <w:instrText xml:space="preserve"> PAGEREF _Toc215817713 \h </w:instrText>
            </w:r>
            <w:r>
              <w:rPr>
                <w:noProof/>
              </w:rPr>
            </w:r>
            <w:r>
              <w:rPr>
                <w:noProof/>
              </w:rPr>
              <w:fldChar w:fldCharType="separate"/>
            </w:r>
            <w:r>
              <w:rPr>
                <w:noProof/>
              </w:rPr>
              <w:t>28</w:t>
            </w:r>
            <w:r>
              <w:rPr>
                <w:noProof/>
              </w:rPr>
              <w:fldChar w:fldCharType="end"/>
            </w:r>
          </w:hyperlink>
        </w:p>
        <w:p w14:paraId="06790217" w14:textId="77777777" w:rsidR="00B97E2E" w:rsidRDefault="00B97E2E">
          <w:pPr>
            <w:pStyle w:val="TOC2"/>
            <w:tabs>
              <w:tab w:val="right" w:leader="dot" w:pos="9016"/>
            </w:tabs>
            <w:rPr>
              <w:noProof/>
            </w:rPr>
          </w:pPr>
          <w:hyperlink w:anchor="_Toc215817714" w:history="1">
            <w:r w:rsidRPr="00DA2A22">
              <w:rPr>
                <w:rStyle w:val="Hyperlink"/>
                <w:noProof/>
              </w:rPr>
              <w:t>10.4 Technical Challenges</w:t>
            </w:r>
            <w:r>
              <w:rPr>
                <w:noProof/>
              </w:rPr>
              <w:tab/>
            </w:r>
            <w:r>
              <w:rPr>
                <w:noProof/>
              </w:rPr>
              <w:fldChar w:fldCharType="begin"/>
            </w:r>
            <w:r>
              <w:rPr>
                <w:noProof/>
              </w:rPr>
              <w:instrText xml:space="preserve"> PAGEREF _Toc215817714 \h </w:instrText>
            </w:r>
            <w:r>
              <w:rPr>
                <w:noProof/>
              </w:rPr>
            </w:r>
            <w:r>
              <w:rPr>
                <w:noProof/>
              </w:rPr>
              <w:fldChar w:fldCharType="separate"/>
            </w:r>
            <w:r>
              <w:rPr>
                <w:noProof/>
              </w:rPr>
              <w:t>29</w:t>
            </w:r>
            <w:r>
              <w:rPr>
                <w:noProof/>
              </w:rPr>
              <w:fldChar w:fldCharType="end"/>
            </w:r>
          </w:hyperlink>
        </w:p>
        <w:p w14:paraId="6B51D3EA" w14:textId="77777777" w:rsidR="00B97E2E" w:rsidRDefault="00B97E2E">
          <w:pPr>
            <w:pStyle w:val="TOC2"/>
            <w:tabs>
              <w:tab w:val="right" w:leader="dot" w:pos="9016"/>
            </w:tabs>
            <w:rPr>
              <w:noProof/>
            </w:rPr>
          </w:pPr>
          <w:hyperlink w:anchor="_Toc215817715" w:history="1">
            <w:r w:rsidRPr="00DA2A22">
              <w:rPr>
                <w:rStyle w:val="Hyperlink"/>
                <w:noProof/>
              </w:rPr>
              <w:t>10.5 Blockchain Implementation Efforts</w:t>
            </w:r>
            <w:r>
              <w:rPr>
                <w:noProof/>
              </w:rPr>
              <w:tab/>
            </w:r>
            <w:r>
              <w:rPr>
                <w:noProof/>
              </w:rPr>
              <w:fldChar w:fldCharType="begin"/>
            </w:r>
            <w:r>
              <w:rPr>
                <w:noProof/>
              </w:rPr>
              <w:instrText xml:space="preserve"> PAGEREF _Toc215817715 \h </w:instrText>
            </w:r>
            <w:r>
              <w:rPr>
                <w:noProof/>
              </w:rPr>
            </w:r>
            <w:r>
              <w:rPr>
                <w:noProof/>
              </w:rPr>
              <w:fldChar w:fldCharType="separate"/>
            </w:r>
            <w:r>
              <w:rPr>
                <w:noProof/>
              </w:rPr>
              <w:t>29</w:t>
            </w:r>
            <w:r>
              <w:rPr>
                <w:noProof/>
              </w:rPr>
              <w:fldChar w:fldCharType="end"/>
            </w:r>
          </w:hyperlink>
        </w:p>
        <w:p w14:paraId="3D3BB49D" w14:textId="77777777" w:rsidR="00B97E2E" w:rsidRDefault="00B97E2E">
          <w:pPr>
            <w:pStyle w:val="TOC2"/>
            <w:tabs>
              <w:tab w:val="right" w:leader="dot" w:pos="9016"/>
            </w:tabs>
            <w:rPr>
              <w:noProof/>
            </w:rPr>
          </w:pPr>
          <w:hyperlink w:anchor="_Toc215817716" w:history="1">
            <w:r w:rsidRPr="00DA2A22">
              <w:rPr>
                <w:rStyle w:val="Hyperlink"/>
                <w:noProof/>
              </w:rPr>
              <w:t>10.6 Recommendations for Current Systems</w:t>
            </w:r>
            <w:r>
              <w:rPr>
                <w:noProof/>
              </w:rPr>
              <w:tab/>
            </w:r>
            <w:r>
              <w:rPr>
                <w:noProof/>
              </w:rPr>
              <w:fldChar w:fldCharType="begin"/>
            </w:r>
            <w:r>
              <w:rPr>
                <w:noProof/>
              </w:rPr>
              <w:instrText xml:space="preserve"> PAGEREF _Toc215817716 \h </w:instrText>
            </w:r>
            <w:r>
              <w:rPr>
                <w:noProof/>
              </w:rPr>
            </w:r>
            <w:r>
              <w:rPr>
                <w:noProof/>
              </w:rPr>
              <w:fldChar w:fldCharType="separate"/>
            </w:r>
            <w:r>
              <w:rPr>
                <w:noProof/>
              </w:rPr>
              <w:t>30</w:t>
            </w:r>
            <w:r>
              <w:rPr>
                <w:noProof/>
              </w:rPr>
              <w:fldChar w:fldCharType="end"/>
            </w:r>
          </w:hyperlink>
        </w:p>
        <w:p w14:paraId="368CC793" w14:textId="77777777" w:rsidR="00B97E2E" w:rsidRDefault="00B97E2E">
          <w:pPr>
            <w:pStyle w:val="TOC1"/>
            <w:tabs>
              <w:tab w:val="right" w:leader="dot" w:pos="9016"/>
            </w:tabs>
            <w:rPr>
              <w:noProof/>
            </w:rPr>
          </w:pPr>
          <w:hyperlink w:anchor="_Toc215817717" w:history="1">
            <w:r w:rsidRPr="00DA2A22">
              <w:rPr>
                <w:rStyle w:val="Hyperlink"/>
                <w:noProof/>
              </w:rPr>
              <w:t>11. Conclusions and Future Directions</w:t>
            </w:r>
            <w:r>
              <w:rPr>
                <w:noProof/>
              </w:rPr>
              <w:tab/>
            </w:r>
            <w:r>
              <w:rPr>
                <w:noProof/>
              </w:rPr>
              <w:fldChar w:fldCharType="begin"/>
            </w:r>
            <w:r>
              <w:rPr>
                <w:noProof/>
              </w:rPr>
              <w:instrText xml:space="preserve"> PAGEREF _Toc215817717 \h </w:instrText>
            </w:r>
            <w:r>
              <w:rPr>
                <w:noProof/>
              </w:rPr>
            </w:r>
            <w:r>
              <w:rPr>
                <w:noProof/>
              </w:rPr>
              <w:fldChar w:fldCharType="separate"/>
            </w:r>
            <w:r>
              <w:rPr>
                <w:noProof/>
              </w:rPr>
              <w:t>31</w:t>
            </w:r>
            <w:r>
              <w:rPr>
                <w:noProof/>
              </w:rPr>
              <w:fldChar w:fldCharType="end"/>
            </w:r>
          </w:hyperlink>
        </w:p>
        <w:p w14:paraId="51D11264" w14:textId="77777777" w:rsidR="00B97E2E" w:rsidRDefault="00B97E2E">
          <w:pPr>
            <w:pStyle w:val="TOC2"/>
            <w:tabs>
              <w:tab w:val="right" w:leader="dot" w:pos="9016"/>
            </w:tabs>
            <w:rPr>
              <w:noProof/>
            </w:rPr>
          </w:pPr>
          <w:hyperlink w:anchor="_Toc215817718" w:history="1">
            <w:r w:rsidRPr="00DA2A22">
              <w:rPr>
                <w:rStyle w:val="Hyperlink"/>
                <w:noProof/>
              </w:rPr>
              <w:t>11.1 Summary of Key Findings</w:t>
            </w:r>
            <w:r>
              <w:rPr>
                <w:noProof/>
              </w:rPr>
              <w:tab/>
            </w:r>
            <w:r>
              <w:rPr>
                <w:noProof/>
              </w:rPr>
              <w:fldChar w:fldCharType="begin"/>
            </w:r>
            <w:r>
              <w:rPr>
                <w:noProof/>
              </w:rPr>
              <w:instrText xml:space="preserve"> PAGEREF _Toc215817718 \h </w:instrText>
            </w:r>
            <w:r>
              <w:rPr>
                <w:noProof/>
              </w:rPr>
            </w:r>
            <w:r>
              <w:rPr>
                <w:noProof/>
              </w:rPr>
              <w:fldChar w:fldCharType="separate"/>
            </w:r>
            <w:r>
              <w:rPr>
                <w:noProof/>
              </w:rPr>
              <w:t>31</w:t>
            </w:r>
            <w:r>
              <w:rPr>
                <w:noProof/>
              </w:rPr>
              <w:fldChar w:fldCharType="end"/>
            </w:r>
          </w:hyperlink>
        </w:p>
        <w:p w14:paraId="5CBB64D0" w14:textId="77777777" w:rsidR="00B97E2E" w:rsidRDefault="00B97E2E">
          <w:pPr>
            <w:pStyle w:val="TOC2"/>
            <w:tabs>
              <w:tab w:val="right" w:leader="dot" w:pos="9016"/>
            </w:tabs>
            <w:rPr>
              <w:noProof/>
            </w:rPr>
          </w:pPr>
          <w:hyperlink w:anchor="_Toc215817719" w:history="1">
            <w:r w:rsidRPr="00DA2A22">
              <w:rPr>
                <w:rStyle w:val="Hyperlink"/>
                <w:noProof/>
              </w:rPr>
              <w:t>11.2 Security Landscape Assessment</w:t>
            </w:r>
            <w:r>
              <w:rPr>
                <w:noProof/>
              </w:rPr>
              <w:tab/>
            </w:r>
            <w:r>
              <w:rPr>
                <w:noProof/>
              </w:rPr>
              <w:fldChar w:fldCharType="begin"/>
            </w:r>
            <w:r>
              <w:rPr>
                <w:noProof/>
              </w:rPr>
              <w:instrText xml:space="preserve"> PAGEREF _Toc215817719 \h </w:instrText>
            </w:r>
            <w:r>
              <w:rPr>
                <w:noProof/>
              </w:rPr>
            </w:r>
            <w:r>
              <w:rPr>
                <w:noProof/>
              </w:rPr>
              <w:fldChar w:fldCharType="separate"/>
            </w:r>
            <w:r>
              <w:rPr>
                <w:noProof/>
              </w:rPr>
              <w:t>31</w:t>
            </w:r>
            <w:r>
              <w:rPr>
                <w:noProof/>
              </w:rPr>
              <w:fldChar w:fldCharType="end"/>
            </w:r>
          </w:hyperlink>
        </w:p>
        <w:p w14:paraId="1C175B47" w14:textId="77777777" w:rsidR="00B97E2E" w:rsidRDefault="00B97E2E">
          <w:pPr>
            <w:pStyle w:val="TOC2"/>
            <w:tabs>
              <w:tab w:val="right" w:leader="dot" w:pos="9016"/>
            </w:tabs>
            <w:rPr>
              <w:noProof/>
            </w:rPr>
          </w:pPr>
          <w:hyperlink w:anchor="_Toc215817720" w:history="1">
            <w:r w:rsidRPr="00DA2A22">
              <w:rPr>
                <w:rStyle w:val="Hyperlink"/>
                <w:noProof/>
              </w:rPr>
              <w:t>11.3 Future Research Directions</w:t>
            </w:r>
            <w:r>
              <w:rPr>
                <w:noProof/>
              </w:rPr>
              <w:tab/>
            </w:r>
            <w:r>
              <w:rPr>
                <w:noProof/>
              </w:rPr>
              <w:fldChar w:fldCharType="begin"/>
            </w:r>
            <w:r>
              <w:rPr>
                <w:noProof/>
              </w:rPr>
              <w:instrText xml:space="preserve"> PAGEREF _Toc215817720 \h </w:instrText>
            </w:r>
            <w:r>
              <w:rPr>
                <w:noProof/>
              </w:rPr>
            </w:r>
            <w:r>
              <w:rPr>
                <w:noProof/>
              </w:rPr>
              <w:fldChar w:fldCharType="separate"/>
            </w:r>
            <w:r>
              <w:rPr>
                <w:noProof/>
              </w:rPr>
              <w:t>31</w:t>
            </w:r>
            <w:r>
              <w:rPr>
                <w:noProof/>
              </w:rPr>
              <w:fldChar w:fldCharType="end"/>
            </w:r>
          </w:hyperlink>
        </w:p>
        <w:p w14:paraId="471572DB" w14:textId="77777777" w:rsidR="00B97E2E" w:rsidRDefault="00B97E2E">
          <w:pPr>
            <w:pStyle w:val="TOC2"/>
            <w:tabs>
              <w:tab w:val="right" w:leader="dot" w:pos="9016"/>
            </w:tabs>
            <w:rPr>
              <w:noProof/>
            </w:rPr>
          </w:pPr>
          <w:hyperlink w:anchor="_Toc215817721" w:history="1">
            <w:r w:rsidRPr="00DA2A22">
              <w:rPr>
                <w:rStyle w:val="Hyperlink"/>
                <w:noProof/>
              </w:rPr>
              <w:t>11.4 Implications for Practice</w:t>
            </w:r>
            <w:r>
              <w:rPr>
                <w:noProof/>
              </w:rPr>
              <w:tab/>
            </w:r>
            <w:r>
              <w:rPr>
                <w:noProof/>
              </w:rPr>
              <w:fldChar w:fldCharType="begin"/>
            </w:r>
            <w:r>
              <w:rPr>
                <w:noProof/>
              </w:rPr>
              <w:instrText xml:space="preserve"> PAGEREF _Toc215817721 \h </w:instrText>
            </w:r>
            <w:r>
              <w:rPr>
                <w:noProof/>
              </w:rPr>
            </w:r>
            <w:r>
              <w:rPr>
                <w:noProof/>
              </w:rPr>
              <w:fldChar w:fldCharType="separate"/>
            </w:r>
            <w:r>
              <w:rPr>
                <w:noProof/>
              </w:rPr>
              <w:t>32</w:t>
            </w:r>
            <w:r>
              <w:rPr>
                <w:noProof/>
              </w:rPr>
              <w:fldChar w:fldCharType="end"/>
            </w:r>
          </w:hyperlink>
        </w:p>
        <w:p w14:paraId="1CE42104" w14:textId="77777777" w:rsidR="00B97E2E" w:rsidRDefault="00B97E2E">
          <w:pPr>
            <w:pStyle w:val="TOC1"/>
            <w:tabs>
              <w:tab w:val="right" w:leader="dot" w:pos="9016"/>
            </w:tabs>
            <w:rPr>
              <w:noProof/>
            </w:rPr>
          </w:pPr>
          <w:hyperlink w:anchor="_Toc215817722" w:history="1">
            <w:r w:rsidRPr="00DA2A22">
              <w:rPr>
                <w:rStyle w:val="Hyperlink"/>
                <w:noProof/>
              </w:rPr>
              <w:t>References</w:t>
            </w:r>
            <w:r>
              <w:rPr>
                <w:noProof/>
              </w:rPr>
              <w:tab/>
            </w:r>
            <w:r>
              <w:rPr>
                <w:noProof/>
              </w:rPr>
              <w:fldChar w:fldCharType="begin"/>
            </w:r>
            <w:r>
              <w:rPr>
                <w:noProof/>
              </w:rPr>
              <w:instrText xml:space="preserve"> PAGEREF _Toc215817722 \h </w:instrText>
            </w:r>
            <w:r>
              <w:rPr>
                <w:noProof/>
              </w:rPr>
            </w:r>
            <w:r>
              <w:rPr>
                <w:noProof/>
              </w:rPr>
              <w:fldChar w:fldCharType="separate"/>
            </w:r>
            <w:r>
              <w:rPr>
                <w:noProof/>
              </w:rPr>
              <w:t>33</w:t>
            </w:r>
            <w:r>
              <w:rPr>
                <w:noProof/>
              </w:rPr>
              <w:fldChar w:fldCharType="end"/>
            </w:r>
          </w:hyperlink>
        </w:p>
        <w:p w14:paraId="76D347AE" w14:textId="77777777" w:rsidR="00B97E2E" w:rsidRDefault="00B97E2E">
          <w:pPr>
            <w:pStyle w:val="TOC1"/>
            <w:tabs>
              <w:tab w:val="right" w:leader="dot" w:pos="9016"/>
            </w:tabs>
            <w:rPr>
              <w:noProof/>
            </w:rPr>
          </w:pPr>
          <w:hyperlink w:anchor="_Toc215817723" w:history="1">
            <w:r w:rsidRPr="00DA2A22">
              <w:rPr>
                <w:rStyle w:val="Hyperlink"/>
                <w:noProof/>
              </w:rPr>
              <w:t>Bibliography</w:t>
            </w:r>
            <w:r>
              <w:rPr>
                <w:noProof/>
              </w:rPr>
              <w:tab/>
            </w:r>
            <w:r>
              <w:rPr>
                <w:noProof/>
              </w:rPr>
              <w:fldChar w:fldCharType="begin"/>
            </w:r>
            <w:r>
              <w:rPr>
                <w:noProof/>
              </w:rPr>
              <w:instrText xml:space="preserve"> PAGEREF _Toc215817723 \h </w:instrText>
            </w:r>
            <w:r>
              <w:rPr>
                <w:noProof/>
              </w:rPr>
            </w:r>
            <w:r>
              <w:rPr>
                <w:noProof/>
              </w:rPr>
              <w:fldChar w:fldCharType="separate"/>
            </w:r>
            <w:r>
              <w:rPr>
                <w:noProof/>
              </w:rPr>
              <w:t>35</w:t>
            </w:r>
            <w:r>
              <w:rPr>
                <w:noProof/>
              </w:rPr>
              <w:fldChar w:fldCharType="end"/>
            </w:r>
          </w:hyperlink>
        </w:p>
        <w:p w14:paraId="2271C504" w14:textId="77777777" w:rsidR="00B97E2E" w:rsidRDefault="00B97E2E">
          <w:pPr>
            <w:pStyle w:val="TOC1"/>
            <w:tabs>
              <w:tab w:val="right" w:leader="dot" w:pos="9016"/>
            </w:tabs>
            <w:rPr>
              <w:noProof/>
            </w:rPr>
          </w:pPr>
          <w:hyperlink w:anchor="_Toc215817724" w:history="1">
            <w:r w:rsidRPr="00DA2A22">
              <w:rPr>
                <w:rStyle w:val="Hyperlink"/>
                <w:noProof/>
              </w:rPr>
              <w:t>Appendix A: Technical Glossary</w:t>
            </w:r>
            <w:r>
              <w:rPr>
                <w:noProof/>
              </w:rPr>
              <w:tab/>
            </w:r>
            <w:r>
              <w:rPr>
                <w:noProof/>
              </w:rPr>
              <w:fldChar w:fldCharType="begin"/>
            </w:r>
            <w:r>
              <w:rPr>
                <w:noProof/>
              </w:rPr>
              <w:instrText xml:space="preserve"> PAGEREF _Toc215817724 \h </w:instrText>
            </w:r>
            <w:r>
              <w:rPr>
                <w:noProof/>
              </w:rPr>
            </w:r>
            <w:r>
              <w:rPr>
                <w:noProof/>
              </w:rPr>
              <w:fldChar w:fldCharType="separate"/>
            </w:r>
            <w:r>
              <w:rPr>
                <w:noProof/>
              </w:rPr>
              <w:t>37</w:t>
            </w:r>
            <w:r>
              <w:rPr>
                <w:noProof/>
              </w:rPr>
              <w:fldChar w:fldCharType="end"/>
            </w:r>
          </w:hyperlink>
        </w:p>
        <w:p w14:paraId="019FE606" w14:textId="77777777" w:rsidR="00B97E2E" w:rsidRDefault="00B97E2E">
          <w:pPr>
            <w:pStyle w:val="TOC1"/>
            <w:tabs>
              <w:tab w:val="right" w:leader="dot" w:pos="9016"/>
            </w:tabs>
            <w:rPr>
              <w:noProof/>
            </w:rPr>
          </w:pPr>
          <w:hyperlink w:anchor="_Toc215817725" w:history="1">
            <w:r w:rsidRPr="00DA2A22">
              <w:rPr>
                <w:rStyle w:val="Hyperlink"/>
                <w:noProof/>
              </w:rPr>
              <w:t>Appendix B: BIP-32 Key Derivation Example</w:t>
            </w:r>
            <w:r>
              <w:rPr>
                <w:noProof/>
              </w:rPr>
              <w:tab/>
            </w:r>
            <w:r>
              <w:rPr>
                <w:noProof/>
              </w:rPr>
              <w:fldChar w:fldCharType="begin"/>
            </w:r>
            <w:r>
              <w:rPr>
                <w:noProof/>
              </w:rPr>
              <w:instrText xml:space="preserve"> PAGEREF _Toc215817725 \h </w:instrText>
            </w:r>
            <w:r>
              <w:rPr>
                <w:noProof/>
              </w:rPr>
            </w:r>
            <w:r>
              <w:rPr>
                <w:noProof/>
              </w:rPr>
              <w:fldChar w:fldCharType="separate"/>
            </w:r>
            <w:r>
              <w:rPr>
                <w:noProof/>
              </w:rPr>
              <w:t>40</w:t>
            </w:r>
            <w:r>
              <w:rPr>
                <w:noProof/>
              </w:rPr>
              <w:fldChar w:fldCharType="end"/>
            </w:r>
          </w:hyperlink>
        </w:p>
        <w:p w14:paraId="6E48372A" w14:textId="77777777" w:rsidR="00B97E2E" w:rsidRDefault="00B97E2E">
          <w:pPr>
            <w:pStyle w:val="TOC1"/>
            <w:tabs>
              <w:tab w:val="right" w:leader="dot" w:pos="9016"/>
            </w:tabs>
            <w:rPr>
              <w:noProof/>
            </w:rPr>
          </w:pPr>
          <w:hyperlink w:anchor="_Toc215817726" w:history="1">
            <w:r w:rsidRPr="00DA2A22">
              <w:rPr>
                <w:rStyle w:val="Hyperlink"/>
                <w:noProof/>
              </w:rPr>
              <w:t>Appendix C: Security Incident Timeline 2024</w:t>
            </w:r>
            <w:r>
              <w:rPr>
                <w:noProof/>
              </w:rPr>
              <w:tab/>
            </w:r>
            <w:r>
              <w:rPr>
                <w:noProof/>
              </w:rPr>
              <w:fldChar w:fldCharType="begin"/>
            </w:r>
            <w:r>
              <w:rPr>
                <w:noProof/>
              </w:rPr>
              <w:instrText xml:space="preserve"> PAGEREF _Toc215817726 \h </w:instrText>
            </w:r>
            <w:r>
              <w:rPr>
                <w:noProof/>
              </w:rPr>
            </w:r>
            <w:r>
              <w:rPr>
                <w:noProof/>
              </w:rPr>
              <w:fldChar w:fldCharType="separate"/>
            </w:r>
            <w:r>
              <w:rPr>
                <w:noProof/>
              </w:rPr>
              <w:t>42</w:t>
            </w:r>
            <w:r>
              <w:rPr>
                <w:noProof/>
              </w:rPr>
              <w:fldChar w:fldCharType="end"/>
            </w:r>
          </w:hyperlink>
        </w:p>
        <w:p w14:paraId="63792EEF" w14:textId="77777777" w:rsidR="002D0E99" w:rsidRDefault="000D329E">
          <w:r>
            <w:fldChar w:fldCharType="end"/>
          </w:r>
        </w:p>
      </w:sdtContent>
    </w:sdt>
    <w:p w14:paraId="3B0A62C3" w14:textId="77777777" w:rsidR="002D0E99" w:rsidRDefault="000D329E">
      <w:r>
        <w:br w:type="page"/>
      </w:r>
    </w:p>
    <w:p w14:paraId="187BA7D0" w14:textId="77777777" w:rsidR="002D0E99" w:rsidRDefault="000D329E">
      <w:pPr>
        <w:pStyle w:val="Heading1"/>
      </w:pPr>
      <w:bookmarkStart w:id="1" w:name="_Toc215817646"/>
      <w:r>
        <w:lastRenderedPageBreak/>
        <w:t>1. Executive Summary</w:t>
      </w:r>
      <w:bookmarkEnd w:id="1"/>
    </w:p>
    <w:p w14:paraId="5AE1894A" w14:textId="77777777" w:rsidR="002D0E99" w:rsidRDefault="000D329E">
      <w:pPr>
        <w:spacing w:after="200" w:line="276" w:lineRule="auto"/>
        <w:jc w:val="both"/>
      </w:pPr>
      <w:r>
        <w:t>This comprehensive research report provides an exhaustive examination of blockchain wallet tec</w:t>
      </w:r>
      <w:r>
        <w:t>hnology, encompassing foundational cryptographic principles, hierarchical deterministic (HD) wallet architectures, and cutting-edge innovations reshaping the digital asset security landscape. Prepared for the SEN0401 Special Topics in Software Engineering:</w:t>
      </w:r>
      <w:r>
        <w:t xml:space="preserve"> Blockchain course at Istanbul Kültür University, this document synthesizes academic research, industry developments, and standardization efforts through December 2025.</w:t>
      </w:r>
    </w:p>
    <w:p w14:paraId="195CB49A" w14:textId="77777777" w:rsidR="002D0E99" w:rsidRDefault="000D329E">
      <w:pPr>
        <w:spacing w:after="200" w:line="276" w:lineRule="auto"/>
        <w:jc w:val="both"/>
      </w:pPr>
      <w:r>
        <w:t>Blockchain wallets represent the critical interface between users and decentralized net</w:t>
      </w:r>
      <w:r>
        <w:t>works, managing cryptographic keys that control access to digital assets worth trillions of dollars globally. The evolution from simple key storage mechanisms to sophisticated multi-party computation (MPC) systems and smart contract wallets reflects the ma</w:t>
      </w:r>
      <w:r>
        <w:t>turing demands of institutional adoption, regulatory compliance, and user experience optimization.</w:t>
      </w:r>
    </w:p>
    <w:p w14:paraId="14892DD2" w14:textId="77777777" w:rsidR="002D0E99" w:rsidRDefault="000D329E">
      <w:pPr>
        <w:spacing w:after="200" w:line="276" w:lineRule="auto"/>
        <w:jc w:val="both"/>
      </w:pPr>
      <w:r>
        <w:t>The report is structured around ten major thematic areas, beginning with the foundational wallet taxonomy established by Antonopoulos (2017), progressing thr</w:t>
      </w:r>
      <w:r>
        <w:t>ough BIP standards that define interoperability, and culminating in advanced topics including account abstraction (ERC-4337 and EIP-7702), threshold signature schemes (FROST protocol), hardware security modules with Common Criteria certifications, and post</w:t>
      </w:r>
      <w:r>
        <w:t>-quantum cryptographic migration strategies mandated by NIST (2024).</w:t>
      </w:r>
    </w:p>
    <w:p w14:paraId="6DAF9BC4" w14:textId="77777777" w:rsidR="002D0E99" w:rsidRDefault="000D329E">
      <w:pPr>
        <w:spacing w:after="200" w:line="276" w:lineRule="auto"/>
        <w:jc w:val="both"/>
      </w:pPr>
      <w:r>
        <w:t>Key findings from this research indicate that the blockchain wallet ecosystem is undergoing a fundamental transformation driven by three converging forces. First, institutional capital flows exceeding $100 billion have necessitated enterprise-grade custody</w:t>
      </w:r>
      <w:r>
        <w:t xml:space="preserve"> solutions employing MPC architectures that eliminate single points of failure while maintaining regulatory compliance. Second, the Ethereum ecosystem's adoption of account abstraction through ERC-4337 and the Pectra upgrade's EIP-7702 implementation (May </w:t>
      </w:r>
      <w:r>
        <w:t>2025) is democratizing programmable wallet functionality previously limited to smart contract wallets. Third, NIST's post-quantum cryptography standardization (August 2024) has initiated an industry-wide migration timeline with compliance deadlines extendi</w:t>
      </w:r>
      <w:r>
        <w:t>ng to 2035.</w:t>
      </w:r>
    </w:p>
    <w:p w14:paraId="04F79D2D" w14:textId="77777777" w:rsidR="002D0E99" w:rsidRDefault="000D329E">
      <w:pPr>
        <w:spacing w:after="200" w:line="276" w:lineRule="auto"/>
        <w:jc w:val="both"/>
      </w:pPr>
      <w:r>
        <w:t xml:space="preserve">Security analysis reveals that despite technological advances, private key compromise remains the predominant attack vector, with 2024 witnessing over $4 billion in losses across centralized and decentralized platforms. Notable incidents including the DMM </w:t>
      </w:r>
      <w:r>
        <w:t>Bitcoin hack ($305 million), WazirX compromise ($235 million), and Loopring social recovery exploitation ($5 million) underscore the persistent challenges in securing digital assets across diverse architectural paradigms.</w:t>
      </w:r>
    </w:p>
    <w:p w14:paraId="2A557B46" w14:textId="77777777" w:rsidR="002D0E99" w:rsidRDefault="000D329E">
      <w:pPr>
        <w:spacing w:after="200" w:line="276" w:lineRule="auto"/>
        <w:jc w:val="both"/>
      </w:pPr>
      <w:r>
        <w:t>This report employs the ontology-d</w:t>
      </w:r>
      <w:r>
        <w:t xml:space="preserve">riven methodology specified in Ontology_Report_Generation_v1_0_0.ttl, ensuring comprehensive domain coverage with taxonomic organization, explicit relationship mapping, and rigorous citation practices following the (Surname, Year) academic convention. The </w:t>
      </w:r>
      <w:r>
        <w:t>target metrics of 100/100 scope coverage and 98/100 quality assurance guide the depth and precision of analysis throughout.</w:t>
      </w:r>
    </w:p>
    <w:p w14:paraId="2C67018D" w14:textId="77777777" w:rsidR="002D0E99" w:rsidRDefault="000D329E">
      <w:r>
        <w:br w:type="page"/>
      </w:r>
    </w:p>
    <w:p w14:paraId="06B33EE4" w14:textId="77777777" w:rsidR="002D0E99" w:rsidRDefault="000D329E">
      <w:pPr>
        <w:pStyle w:val="Heading1"/>
      </w:pPr>
      <w:bookmarkStart w:id="2" w:name="_Toc215817647"/>
      <w:r>
        <w:lastRenderedPageBreak/>
        <w:t>2. Foundational Wallet Concepts and Taxonomy</w:t>
      </w:r>
      <w:bookmarkEnd w:id="2"/>
    </w:p>
    <w:p w14:paraId="25805AF1" w14:textId="77777777" w:rsidR="002D0E99" w:rsidRDefault="000D329E">
      <w:pPr>
        <w:pStyle w:val="Heading2"/>
      </w:pPr>
      <w:bookmarkStart w:id="3" w:name="_Toc215817648"/>
      <w:r>
        <w:t>2.1 Definition and Functional Role</w:t>
      </w:r>
      <w:bookmarkEnd w:id="3"/>
    </w:p>
    <w:p w14:paraId="482D862C" w14:textId="77777777" w:rsidR="002D0E99" w:rsidRDefault="000D329E">
      <w:pPr>
        <w:spacing w:after="200" w:line="276" w:lineRule="auto"/>
        <w:jc w:val="both"/>
      </w:pPr>
      <w:r>
        <w:t>A blockchain wallet, in its most precise technical</w:t>
      </w:r>
      <w:r>
        <w:t xml:space="preserve"> definition, is a software or hardware system that manages cryptographic key pairs enabling users to interact with blockchain networks. Contrary to common misconception, wallets do not store cryptocurrency; rather, they maintain the private keys necessary </w:t>
      </w:r>
      <w:r>
        <w:t>to authorize transactions that modify ownership records on distributed ledgers. The wallet's fundamental responsibility encompasses key generation, secure storage, transaction signing, and address derivation (Antonopoulos, 2017).</w:t>
      </w:r>
    </w:p>
    <w:p w14:paraId="15812FC9" w14:textId="77777777" w:rsidR="002D0E99" w:rsidRDefault="000D329E">
      <w:pPr>
        <w:spacing w:after="200" w:line="276" w:lineRule="auto"/>
        <w:jc w:val="both"/>
      </w:pPr>
      <w:r>
        <w:t>The architectural signific</w:t>
      </w:r>
      <w:r>
        <w:t>ance of wallets within the broader blockchain ecosystem cannot be overstated. As the sole custodians of private keys, wallets represent both the primary attack surface for malicious actors and the critical trust boundary between users and the permissionles</w:t>
      </w:r>
      <w:r>
        <w:t>s networks they interact with. The principle of "not your keys, not your coins" encapsulates this relationship, emphasizing that control over private keys constitutes the only meaningful form of cryptocurrency ownership.</w:t>
      </w:r>
    </w:p>
    <w:p w14:paraId="1812F7C8" w14:textId="77777777" w:rsidR="002D0E99" w:rsidRDefault="000D329E">
      <w:pPr>
        <w:pStyle w:val="Heading2"/>
      </w:pPr>
      <w:bookmarkStart w:id="4" w:name="_Toc215817649"/>
      <w:r>
        <w:t>2.2 Wallet Classification Taxonomy</w:t>
      </w:r>
      <w:bookmarkEnd w:id="4"/>
    </w:p>
    <w:p w14:paraId="2AB86B41" w14:textId="77777777" w:rsidR="002D0E99" w:rsidRDefault="000D329E">
      <w:pPr>
        <w:pStyle w:val="Heading3"/>
      </w:pPr>
      <w:bookmarkStart w:id="5" w:name="_Toc215817650"/>
      <w:r>
        <w:t>2.2.1 Nondeterministic (Random) Wallets</w:t>
      </w:r>
      <w:bookmarkEnd w:id="5"/>
    </w:p>
    <w:p w14:paraId="7FF76DE8" w14:textId="77777777" w:rsidR="002D0E99" w:rsidRDefault="000D329E">
      <w:pPr>
        <w:spacing w:after="200" w:line="276" w:lineRule="auto"/>
        <w:jc w:val="both"/>
      </w:pPr>
      <w:r>
        <w:t>Nondeterministic wallets, historically referred to as "Just a Bunch of Keys" (JBOK) wallets, generate each private key independently using cryptographically secure random number generation. This approach, employed by</w:t>
      </w:r>
      <w:r>
        <w:t xml:space="preserve"> early Bitcoin implementations including Bitcoin Core prior to version 0.13, creates keys with no mathematical relationship to one another (Antonopoulos, 2017).</w:t>
      </w:r>
    </w:p>
    <w:p w14:paraId="5240608E" w14:textId="77777777" w:rsidR="002D0E99" w:rsidRDefault="000D329E">
      <w:pPr>
        <w:spacing w:after="200" w:line="276" w:lineRule="auto"/>
        <w:jc w:val="both"/>
      </w:pPr>
      <w:r>
        <w:t>The operational characteristics of JBOK wallets present significant management challenges. Each</w:t>
      </w:r>
      <w:r>
        <w:t xml:space="preserve"> key generation event requires independent backup procedures, as the loss of any single private key results in permanent loss of associated funds. The Bitcoin Core implementation historically pre-generated pools of 100 keys, requiring fresh backups after p</w:t>
      </w:r>
      <w:r>
        <w:t>ool exhaustion—a maintenance burden that proved error-prone for average users and enterprise deployments alike.</w:t>
      </w:r>
    </w:p>
    <w:p w14:paraId="0AC50A6C" w14:textId="77777777" w:rsidR="002D0E99" w:rsidRDefault="000D329E">
      <w:pPr>
        <w:spacing w:after="200" w:line="276" w:lineRule="auto"/>
        <w:jc w:val="both"/>
      </w:pPr>
      <w:r>
        <w:t>From a security perspective, nondeterministic wallets offer certain theoretical advantages. The absence of mathematical relationships between ke</w:t>
      </w:r>
      <w:r>
        <w:t>ys means that compromise of one key reveals no information about others. However, this isolation comes at the cost of backup complexity that historically led to more fund losses through inadequate backup procedures than through cryptographic attacks.</w:t>
      </w:r>
    </w:p>
    <w:p w14:paraId="442D74C0" w14:textId="77777777" w:rsidR="002D0E99" w:rsidRDefault="000D329E">
      <w:pPr>
        <w:pStyle w:val="Heading3"/>
      </w:pPr>
      <w:bookmarkStart w:id="6" w:name="_Toc215817651"/>
      <w:r>
        <w:t>2.2.2</w:t>
      </w:r>
      <w:r>
        <w:t xml:space="preserve"> Deterministic (Seeded) Wallets</w:t>
      </w:r>
      <w:bookmarkEnd w:id="6"/>
    </w:p>
    <w:p w14:paraId="1EE4C756" w14:textId="77777777" w:rsidR="002D0E99" w:rsidRDefault="000D329E">
      <w:pPr>
        <w:spacing w:after="200" w:line="276" w:lineRule="auto"/>
        <w:jc w:val="both"/>
      </w:pPr>
      <w:r>
        <w:t xml:space="preserve">Deterministic wallets derive all keys from a single master seed using one-way hash functions, enabling complete wallet reconstruction from a single backup. This architectural innovation, formalized in BIP-32 (Wuille, 2012), </w:t>
      </w:r>
      <w:r>
        <w:t>transformed cryptocurrency usability by reducing backup requirements to a single seed value typically encoded as a mnemonic phrase.</w:t>
      </w:r>
    </w:p>
    <w:p w14:paraId="49C00310" w14:textId="77777777" w:rsidR="002D0E99" w:rsidRDefault="000D329E">
      <w:pPr>
        <w:spacing w:after="200" w:line="276" w:lineRule="auto"/>
        <w:jc w:val="both"/>
      </w:pPr>
      <w:r>
        <w:lastRenderedPageBreak/>
        <w:t>The deterministic derivation process employs HMAC-SHA512 as its core cryptographic primitive, generating both private keys a</w:t>
      </w:r>
      <w:r>
        <w:t>nd chain codes that enable further derivation. Given a seed S, the master private key and chain code are computed as: (master_key, chain_code) = HMAC-SHA512(key="Bitcoin seed", data=S). This construction ensures that identical seeds always produce identica</w:t>
      </w:r>
      <w:r>
        <w:t>l key hierarchies across compliant implementations.</w:t>
      </w:r>
    </w:p>
    <w:p w14:paraId="664247F7" w14:textId="77777777" w:rsidR="002D0E99" w:rsidRDefault="000D329E">
      <w:pPr>
        <w:pStyle w:val="Heading3"/>
      </w:pPr>
      <w:bookmarkStart w:id="7" w:name="_Toc215817652"/>
      <w:r>
        <w:t>2.2.3 Hierarchical Deterministic (HD) Wallets</w:t>
      </w:r>
      <w:bookmarkEnd w:id="7"/>
    </w:p>
    <w:p w14:paraId="17CFAFB1" w14:textId="77777777" w:rsidR="002D0E99" w:rsidRDefault="000D329E">
      <w:pPr>
        <w:spacing w:after="200" w:line="276" w:lineRule="auto"/>
        <w:jc w:val="both"/>
      </w:pPr>
      <w:r>
        <w:t>Hierarchical deterministic wallets extend the deterministic paradigm by organizing derived keys into tree structures supporting unlimited depth and branching.</w:t>
      </w:r>
      <w:r>
        <w:t xml:space="preserve"> The BIP-32 specification defines a Child Key Derivation (CKD) function that produces child keys from parent keys, enabling organizational schemes that map naturally to business structures, account segregation requirements, and privacy-preserving address g</w:t>
      </w:r>
      <w:r>
        <w:t>eneration patterns (Wuille, 2012).</w:t>
      </w:r>
    </w:p>
    <w:p w14:paraId="1593CE6E" w14:textId="77777777" w:rsidR="002D0E99" w:rsidRDefault="000D329E">
      <w:pPr>
        <w:spacing w:after="200" w:line="276" w:lineRule="auto"/>
        <w:jc w:val="both"/>
      </w:pPr>
      <w:r>
        <w:t>The HD wallet architecture supports two distinct derivation modes with fundamentally different security properties. Normal (non-hardened) derivation allows public key derivation from extended public keys, enabling watch-o</w:t>
      </w:r>
      <w:r>
        <w:t>nly wallet configurations where a server can generate receiving addresses without access to spending authority. Hardened derivation, indicated by indices ≥ 2³¹ or the apostrophe notation (e.g., 44'), requires the parent private key, providing cryptographic</w:t>
      </w:r>
      <w:r>
        <w:t xml:space="preserve"> isolation between branches.</w:t>
      </w:r>
    </w:p>
    <w:p w14:paraId="6262FD1E" w14:textId="77777777" w:rsidR="002D0E99" w:rsidRDefault="000D329E">
      <w:pPr>
        <w:spacing w:after="200" w:line="276" w:lineRule="auto"/>
        <w:jc w:val="both"/>
      </w:pPr>
      <w:r>
        <w:t>The security implications of derivation modes are profound. In normal derivation, knowledge of an extended public key combined with any child private key enables computation of the parent private key—a property that would be ca</w:t>
      </w:r>
      <w:r>
        <w:t>tastrophic if extended public keys were shared carelessly. Hardened derivation eliminates this vulnerability by incorporating the parent private key into the derivation hash, ensuring that child key compromise reveals nothing about sibling or parent keys.</w:t>
      </w:r>
    </w:p>
    <w:p w14:paraId="0A9559B8" w14:textId="77777777" w:rsidR="002D0E99" w:rsidRDefault="000D329E">
      <w:pPr>
        <w:pStyle w:val="Heading2"/>
      </w:pPr>
      <w:bookmarkStart w:id="8" w:name="_Toc215817653"/>
      <w:r>
        <w:t>2.3 Custody Models and Trust Architectures</w:t>
      </w:r>
      <w:bookmarkEnd w:id="8"/>
    </w:p>
    <w:p w14:paraId="1E9F97F3" w14:textId="77777777" w:rsidR="002D0E99" w:rsidRDefault="000D329E">
      <w:pPr>
        <w:pStyle w:val="Heading3"/>
      </w:pPr>
      <w:bookmarkStart w:id="9" w:name="_Toc215817654"/>
      <w:r>
        <w:t>2.3.1 Self-Custody (Non-Custodial) Wallets</w:t>
      </w:r>
      <w:bookmarkEnd w:id="9"/>
    </w:p>
    <w:p w14:paraId="6B951047" w14:textId="77777777" w:rsidR="002D0E99" w:rsidRDefault="000D329E">
      <w:pPr>
        <w:spacing w:after="200" w:line="276" w:lineRule="auto"/>
        <w:jc w:val="both"/>
      </w:pPr>
      <w:r>
        <w:t>Self-custody wallets place complete responsibility for key management with the end user, implementing the trustless philosophy central to blockchain technology. Users mai</w:t>
      </w:r>
      <w:r>
        <w:t>ntain exclusive control over private keys, eliminating counterparty risk but assuming full liability for security practices, backup procedures, and operational security.</w:t>
      </w:r>
    </w:p>
    <w:p w14:paraId="509E6D2D" w14:textId="77777777" w:rsidR="002D0E99" w:rsidRDefault="000D329E">
      <w:pPr>
        <w:spacing w:after="200" w:line="276" w:lineRule="auto"/>
        <w:jc w:val="both"/>
      </w:pPr>
      <w:r>
        <w:t>The self-custody model aligns with the cypherpunk ethos underlying Bitcoin's creation,</w:t>
      </w:r>
      <w:r>
        <w:t xml:space="preserve"> where financial sovereignty requires accepting the responsibility that accompanies it. Hardware wallets, paper wallets, and properly configured software wallets all fall within this category, each offering different trade-offs between security, convenienc</w:t>
      </w:r>
      <w:r>
        <w:t>e, and recoverability.</w:t>
      </w:r>
    </w:p>
    <w:p w14:paraId="68CF3B13" w14:textId="77777777" w:rsidR="002D0E99" w:rsidRDefault="000D329E">
      <w:pPr>
        <w:pStyle w:val="Heading3"/>
      </w:pPr>
      <w:bookmarkStart w:id="10" w:name="_Toc215817655"/>
      <w:r>
        <w:t>2.3.2 Custodial Wallets</w:t>
      </w:r>
      <w:bookmarkEnd w:id="10"/>
    </w:p>
    <w:p w14:paraId="711A3F09" w14:textId="77777777" w:rsidR="002D0E99" w:rsidRDefault="000D329E">
      <w:pPr>
        <w:spacing w:after="200" w:line="276" w:lineRule="auto"/>
        <w:jc w:val="both"/>
      </w:pPr>
      <w:r>
        <w:t xml:space="preserve">Custodial wallets delegate key management to third-party service providers, typically cryptocurrency exchanges or specialized custody firms. Users interact with the platform </w:t>
      </w:r>
      <w:r>
        <w:lastRenderedPageBreak/>
        <w:t xml:space="preserve">through traditional authentication </w:t>
      </w:r>
      <w:r>
        <w:t>mechanisms (passwords, two-factor authentication) while the custodian maintains actual control over blockchain private keys.</w:t>
      </w:r>
    </w:p>
    <w:p w14:paraId="16F13522" w14:textId="77777777" w:rsidR="002D0E99" w:rsidRDefault="000D329E">
      <w:pPr>
        <w:spacing w:after="200" w:line="276" w:lineRule="auto"/>
        <w:jc w:val="both"/>
      </w:pPr>
      <w:r>
        <w:t>The custodial model introduces counterparty risk that has materialized repeatedly throughout cryptocurrency history. Exchange failu</w:t>
      </w:r>
      <w:r>
        <w:t>res including Mt. Gox (2014, $450 million), QuadrigaCX (2019, $190 million), and FTX (2022, $8 billion) demonstrate the catastrophic consequences when custodians fail, whether through hacking, fraud, or operational incompetence.</w:t>
      </w:r>
    </w:p>
    <w:p w14:paraId="3E900C61" w14:textId="77777777" w:rsidR="002D0E99" w:rsidRDefault="000D329E">
      <w:pPr>
        <w:pStyle w:val="Heading3"/>
      </w:pPr>
      <w:bookmarkStart w:id="11" w:name="_Toc215817656"/>
      <w:r>
        <w:t>2.3.3 Hybrid and Distributed Custody</w:t>
      </w:r>
      <w:bookmarkEnd w:id="11"/>
    </w:p>
    <w:p w14:paraId="3737B377" w14:textId="77777777" w:rsidR="002D0E99" w:rsidRDefault="000D329E">
      <w:pPr>
        <w:spacing w:after="200" w:line="276" w:lineRule="auto"/>
        <w:jc w:val="both"/>
      </w:pPr>
      <w:r>
        <w:t>Modern custody solutions increasingly employ hybrid architectures that distribute trust across multiple parties without concentrating control. Multi-signature (multisig) schemes require M-of-N key holders to authorize t</w:t>
      </w:r>
      <w:r>
        <w:t>ransactions, while Multi-Party Computation (MPC) protocols distribute key generation and signing across multiple participants without any single party possessing the complete private key.</w:t>
      </w:r>
    </w:p>
    <w:p w14:paraId="6EECA7FB" w14:textId="77777777" w:rsidR="002D0E99" w:rsidRDefault="000D329E">
      <w:pPr>
        <w:spacing w:after="200" w:line="276" w:lineRule="auto"/>
        <w:jc w:val="both"/>
      </w:pPr>
      <w:r>
        <w:t>These distributed custody models address the fundamental tension bet</w:t>
      </w:r>
      <w:r>
        <w:t>ween security and usability that has historically plagued cryptocurrency adoption. By eliminating single points of failure while maintaining user-friendly interfaces, hybrid custody solutions have enabled institutional adoption at scales previously conside</w:t>
      </w:r>
      <w:r>
        <w:t>red impossible.</w:t>
      </w:r>
    </w:p>
    <w:p w14:paraId="07F53A87" w14:textId="77777777" w:rsidR="002D0E99" w:rsidRDefault="000D329E">
      <w:r>
        <w:br w:type="page"/>
      </w:r>
    </w:p>
    <w:p w14:paraId="65D307B6" w14:textId="77777777" w:rsidR="002D0E99" w:rsidRDefault="000D329E">
      <w:pPr>
        <w:pStyle w:val="Heading1"/>
      </w:pPr>
      <w:bookmarkStart w:id="12" w:name="_Toc215817657"/>
      <w:r>
        <w:lastRenderedPageBreak/>
        <w:t>3. Bitcoin Improvement Proposals: HD Wallet Standards</w:t>
      </w:r>
      <w:bookmarkEnd w:id="12"/>
    </w:p>
    <w:p w14:paraId="6BDBB392" w14:textId="77777777" w:rsidR="002D0E99" w:rsidRDefault="000D329E">
      <w:pPr>
        <w:pStyle w:val="Heading2"/>
      </w:pPr>
      <w:bookmarkStart w:id="13" w:name="_Toc215817658"/>
      <w:r>
        <w:t>3.1 BIP-32: Hierarchical Deterministic Wallets</w:t>
      </w:r>
      <w:bookmarkEnd w:id="13"/>
    </w:p>
    <w:p w14:paraId="6684DBCD" w14:textId="77777777" w:rsidR="002D0E99" w:rsidRDefault="000D329E">
      <w:pPr>
        <w:spacing w:after="200" w:line="276" w:lineRule="auto"/>
        <w:jc w:val="both"/>
      </w:pPr>
      <w:r>
        <w:t>BIP-32, authored by Pieter Wuille and published in February 2012, established the foundational specification for hierarchical determinist</w:t>
      </w:r>
      <w:r>
        <w:t>ic wallet construction. The proposal defines the mathematical framework for deriving an effectively unlimited tree of key pairs from a single seed, revolutionizing cryptocurrency key management by enabling single-backup wallet architectures (Wuille, 2012).</w:t>
      </w:r>
    </w:p>
    <w:p w14:paraId="11F139BE" w14:textId="77777777" w:rsidR="002D0E99" w:rsidRDefault="000D329E">
      <w:pPr>
        <w:spacing w:after="200" w:line="276" w:lineRule="auto"/>
        <w:jc w:val="both"/>
      </w:pPr>
      <w:r>
        <w:t>The BIP-32 specification centers on the Child Key Derivation (CKD) function, which accepts a parent key, chain code, and index to produce a child key and chain code pair. For private key derivation, the function computes: I = HMAC-SHA512(Key=chain_code, D</w:t>
      </w:r>
      <w:r>
        <w:t>ata=serialize(parent_key)||serialize(index)), splitting the 512-bit output into the child key addend (left 256 bits) and child chain code (right 256 bits). The child private key is computed as (parent_key + IL) mod n, where n is the secp256k1 curve order.</w:t>
      </w:r>
    </w:p>
    <w:p w14:paraId="6E40E192" w14:textId="77777777" w:rsidR="002D0E99" w:rsidRDefault="000D329E">
      <w:pPr>
        <w:spacing w:after="200" w:line="276" w:lineRule="auto"/>
        <w:jc w:val="both"/>
      </w:pPr>
      <w:r>
        <w:t>Extended keys, denoted xprv (extended private) and xpub (extended public), combine a key with its chain code, enabling derivation of child keys. The serialization format includes version bytes (0x0488ADE4 for mainnet xprv, 0x0488B21E for xpub), depth, pare</w:t>
      </w:r>
      <w:r>
        <w:t>nt fingerprint, child index, chain code, and key data, totaling 78 bytes typically encoded in Base58Check format.</w:t>
      </w:r>
    </w:p>
    <w:p w14:paraId="4A1A9D0B" w14:textId="77777777" w:rsidR="002D0E99" w:rsidRDefault="000D329E">
      <w:pPr>
        <w:pStyle w:val="Heading2"/>
      </w:pPr>
      <w:bookmarkStart w:id="14" w:name="_Toc215817659"/>
      <w:r>
        <w:t>3.2 BIP-39: Mnemonic Code Words</w:t>
      </w:r>
      <w:bookmarkEnd w:id="14"/>
    </w:p>
    <w:p w14:paraId="7A078456" w14:textId="77777777" w:rsidR="002D0E99" w:rsidRDefault="000D329E">
      <w:pPr>
        <w:spacing w:after="200" w:line="276" w:lineRule="auto"/>
        <w:jc w:val="both"/>
      </w:pPr>
      <w:r>
        <w:t>BIP-39, finalized in September 2013, standardizes the encoding of wallet seeds as sequences of common words se</w:t>
      </w:r>
      <w:r>
        <w:t>lected from a defined wordlist. This human-readable representation dramatically improves backup reliability compared to hexadecimal or Base58 seed representations, reducing transcription errors while remaining compatible with the deterministic derivation f</w:t>
      </w:r>
      <w:r>
        <w:t>ramework established by BIP-32 (Palatinus et al., 2013).</w:t>
      </w:r>
    </w:p>
    <w:p w14:paraId="0D6CD32D" w14:textId="77777777" w:rsidR="002D0E99" w:rsidRDefault="000D329E">
      <w:pPr>
        <w:spacing w:after="200" w:line="276" w:lineRule="auto"/>
        <w:jc w:val="both"/>
      </w:pPr>
      <w:r>
        <w:t>The mnemonic generation process begins with entropy collection (128-256 bits from a cryptographically secure random source), followed by checksum computation (first ENT/32 bits of SHA256(entropy)), a</w:t>
      </w:r>
      <w:r>
        <w:t>nd finally word selection where each 11-bit segment indexes into the 2048-word list. Standard configurations include 12 words (128 bits entropy), 15 words (160 bits), 18 words (192 bits), 21 words (224 bits), and 24 words (256 bits).</w:t>
      </w:r>
    </w:p>
    <w:p w14:paraId="22EE299C" w14:textId="77777777" w:rsidR="002D0E99" w:rsidRDefault="000D329E">
      <w:pPr>
        <w:spacing w:after="200" w:line="276" w:lineRule="auto"/>
        <w:jc w:val="both"/>
      </w:pPr>
      <w:r>
        <w:t>Seed derivation from t</w:t>
      </w:r>
      <w:r>
        <w:t>he mnemonic employs PBKDF2-HMAC-SHA512 with 2048 iterations, using the mnemonic sentence as the password and the string "mnemonic" concatenated with an optional passphrase as the salt. This computationally intensive derivation provides protection against b</w:t>
      </w:r>
      <w:r>
        <w:t>rute-force attacks while the optional passphrase enables plausible deniability—users can maintain multiple wallet configurations from a single mnemonic by varying the passphrase.</w:t>
      </w:r>
    </w:p>
    <w:p w14:paraId="25BF0B5B" w14:textId="77777777" w:rsidR="002D0E99" w:rsidRDefault="000D329E">
      <w:pPr>
        <w:pStyle w:val="Heading2"/>
      </w:pPr>
      <w:bookmarkStart w:id="15" w:name="_Toc215817660"/>
      <w:r>
        <w:t>3.3 BIP-43 and BIP-44: Purpose and Multi-Account Structure</w:t>
      </w:r>
      <w:bookmarkEnd w:id="15"/>
    </w:p>
    <w:p w14:paraId="2D23790D" w14:textId="77777777" w:rsidR="002D0E99" w:rsidRDefault="000D329E">
      <w:pPr>
        <w:spacing w:after="200" w:line="276" w:lineRule="auto"/>
        <w:jc w:val="both"/>
      </w:pPr>
      <w:r>
        <w:lastRenderedPageBreak/>
        <w:t xml:space="preserve">BIP-43 introduced </w:t>
      </w:r>
      <w:r>
        <w:t>the concept of a "purpose" field as the first level of HD wallet derivation, enabling identification of the wallet structure in use. By reserving the first hardened child index to indicate derivation scheme compliance, BIP-43 provides forward compatibility</w:t>
      </w:r>
      <w:r>
        <w:t xml:space="preserve"> for future standards while enabling wallets to auto-detect appropriate derivation paths (Palatinus and Rusnak, 2014).</w:t>
      </w:r>
    </w:p>
    <w:p w14:paraId="44E7BD24" w14:textId="77777777" w:rsidR="002D0E99" w:rsidRDefault="000D329E">
      <w:pPr>
        <w:spacing w:after="200" w:line="276" w:lineRule="auto"/>
        <w:jc w:val="both"/>
      </w:pPr>
      <w:r>
        <w:t>BIP-44 builds upon this foundation to define a comprehensive multi-account hierarchy: m / purpose' / coin_type' / account' / change / add</w:t>
      </w:r>
      <w:r>
        <w:t>ress_index. Each level serves a specific organizational function: purpose (44') indicates BIP-44 compliance, coin_type distinguishes cryptocurrencies (0' for Bitcoin, 60' for Ethereum), account enables user-defined segregation, change separates external (0</w:t>
      </w:r>
      <w:r>
        <w:t>) and internal (1) addresses, and address_index provides sequential address generation (Palatinus and Rusnak, 2014).</w:t>
      </w:r>
    </w:p>
    <w:p w14:paraId="094FEA9E" w14:textId="77777777" w:rsidR="002D0E99" w:rsidRDefault="000D329E">
      <w:pPr>
        <w:spacing w:after="200" w:line="276" w:lineRule="auto"/>
        <w:jc w:val="both"/>
      </w:pPr>
      <w:r>
        <w:t>The hardened derivation at the first three levels (purpose, coin_type, account) ensures that compromise of any branch cannot propagate to o</w:t>
      </w:r>
      <w:r>
        <w:t>thers, while the normal derivation at change and address_index levels enables watch-only wallet functionality where public keys can be derived without private key access.</w:t>
      </w:r>
    </w:p>
    <w:p w14:paraId="59E86F63" w14:textId="77777777" w:rsidR="002D0E99" w:rsidRDefault="000D329E">
      <w:pPr>
        <w:pStyle w:val="Heading2"/>
      </w:pPr>
      <w:bookmarkStart w:id="16" w:name="_Toc215817661"/>
      <w:r>
        <w:t>3.4 BIP-49, BIP-84, and BIP-86: SegWit and Taproot Paths</w:t>
      </w:r>
      <w:bookmarkEnd w:id="16"/>
    </w:p>
    <w:p w14:paraId="45060773" w14:textId="77777777" w:rsidR="002D0E99" w:rsidRDefault="000D329E">
      <w:pPr>
        <w:spacing w:after="200" w:line="276" w:lineRule="auto"/>
        <w:jc w:val="both"/>
      </w:pPr>
      <w:r>
        <w:t>As Bitcoin's addressing form</w:t>
      </w:r>
      <w:r>
        <w:t>ats evolved with Segregated Witness and Taproot upgrades, corresponding BIP standards defined derivation paths ensuring wallet interoperability. BIP-49 (purpose 49') specifies derivation for P2WPKH-nested-in-P2SH addresses (3... prefix), providing SegWit b</w:t>
      </w:r>
      <w:r>
        <w:t>enefits with backward-compatible address format (Johnson, 2016).</w:t>
      </w:r>
    </w:p>
    <w:p w14:paraId="1358A27E" w14:textId="77777777" w:rsidR="002D0E99" w:rsidRDefault="000D329E">
      <w:pPr>
        <w:spacing w:after="200" w:line="276" w:lineRule="auto"/>
        <w:jc w:val="both"/>
      </w:pPr>
      <w:r>
        <w:t xml:space="preserve">BIP-84 (purpose 84') defines native SegWit P2WPKH derivation, generating bech32 addresses (bc1q... prefix) that offer reduced transaction fees and improved error detection compared to legacy </w:t>
      </w:r>
      <w:r>
        <w:t>formats. This path has become the de facto standard for modern Bitcoin wallets prioritizing efficiency (Johnson, 2017).</w:t>
      </w:r>
    </w:p>
    <w:p w14:paraId="4A5E7BD6" w14:textId="77777777" w:rsidR="002D0E99" w:rsidRDefault="000D329E">
      <w:pPr>
        <w:spacing w:after="200" w:line="276" w:lineRule="auto"/>
        <w:jc w:val="both"/>
      </w:pPr>
      <w:r>
        <w:t>BIP-86 (purpose 86') addresses Taproot's P2TR output type, generating bech32m addresses (bc1p... prefix) that support Schnorr signatures</w:t>
      </w:r>
      <w:r>
        <w:t xml:space="preserve"> and script-path spending. The specification ensures consistent derivation across wallets implementing Bitcoin's November 2021 soft fork, enabling advanced functionality including MuSig2 multisignature and complex scripting with privacy-preserving properti</w:t>
      </w:r>
      <w:r>
        <w:t>es (Chow, 2021).</w:t>
      </w:r>
    </w:p>
    <w:p w14:paraId="25C1A632" w14:textId="77777777" w:rsidR="002D0E99" w:rsidRDefault="000D329E">
      <w:pPr>
        <w:spacing w:before="300" w:after="200"/>
      </w:pPr>
      <w:r>
        <w:rPr>
          <w:rFonts w:ascii="Arial" w:eastAsia="Arial" w:hAnsi="Arial" w:cs="Arial"/>
          <w:b/>
          <w:bCs/>
          <w:sz w:val="22"/>
          <w:szCs w:val="22"/>
        </w:rPr>
        <w:t>Table 1: BIP Derivation Path Standards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720"/>
        <w:gridCol w:w="2187"/>
        <w:gridCol w:w="559"/>
        <w:gridCol w:w="442"/>
      </w:tblGrid>
      <w:tr w:rsidR="002D0E99" w14:paraId="2893F2C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1111A3C2" w14:textId="77777777" w:rsidR="002D0E99" w:rsidRDefault="000D329E">
            <w:pPr>
              <w:jc w:val="center"/>
            </w:pPr>
            <w:r>
              <w:rPr>
                <w:b/>
                <w:bCs/>
                <w:sz w:val="20"/>
                <w:szCs w:val="20"/>
              </w:rPr>
              <w:t>BIP</w:t>
            </w:r>
          </w:p>
        </w:tc>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6CC409EA" w14:textId="77777777" w:rsidR="002D0E99" w:rsidRDefault="000D329E">
            <w:pPr>
              <w:jc w:val="center"/>
            </w:pPr>
            <w:r>
              <w:rPr>
                <w:b/>
                <w:bCs/>
                <w:sz w:val="20"/>
                <w:szCs w:val="20"/>
              </w:rPr>
              <w:t>Purpose</w:t>
            </w:r>
          </w:p>
        </w:tc>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37BD37F1" w14:textId="77777777" w:rsidR="002D0E99" w:rsidRDefault="000D329E">
            <w:pPr>
              <w:jc w:val="center"/>
            </w:pPr>
            <w:r>
              <w:rPr>
                <w:b/>
                <w:bCs/>
                <w:sz w:val="20"/>
                <w:szCs w:val="20"/>
              </w:rPr>
              <w:t>Address Type</w:t>
            </w:r>
          </w:p>
        </w:tc>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7117DB9C" w14:textId="77777777" w:rsidR="002D0E99" w:rsidRDefault="000D329E">
            <w:pPr>
              <w:jc w:val="center"/>
            </w:pPr>
            <w:r>
              <w:rPr>
                <w:b/>
                <w:bCs/>
                <w:sz w:val="20"/>
                <w:szCs w:val="20"/>
              </w:rPr>
              <w:t>Prefix</w:t>
            </w:r>
          </w:p>
        </w:tc>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3B50DF51" w14:textId="77777777" w:rsidR="002D0E99" w:rsidRDefault="000D329E">
            <w:pPr>
              <w:jc w:val="center"/>
            </w:pPr>
            <w:r>
              <w:rPr>
                <w:b/>
                <w:bCs/>
                <w:sz w:val="20"/>
                <w:szCs w:val="20"/>
              </w:rPr>
              <w:t>Year</w:t>
            </w:r>
          </w:p>
        </w:tc>
      </w:tr>
      <w:tr w:rsidR="002D0E99" w14:paraId="2B3B33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ED599A7" w14:textId="77777777" w:rsidR="002D0E99" w:rsidRDefault="000D329E">
            <w:pPr>
              <w:jc w:val="center"/>
            </w:pPr>
            <w:r>
              <w:rPr>
                <w:sz w:val="20"/>
                <w:szCs w:val="20"/>
              </w:rPr>
              <w:t>BIP-44</w:t>
            </w:r>
          </w:p>
        </w:tc>
        <w:tc>
          <w:tcPr>
            <w:tcW w:w="0" w:type="auto"/>
            <w:tcBorders>
              <w:top w:val="single" w:sz="1" w:space="0" w:color="CCCCCC"/>
              <w:left w:val="single" w:sz="1" w:space="0" w:color="CCCCCC"/>
              <w:bottom w:val="single" w:sz="1" w:space="0" w:color="CCCCCC"/>
              <w:right w:val="single" w:sz="1" w:space="0" w:color="CCCCCC"/>
            </w:tcBorders>
          </w:tcPr>
          <w:p w14:paraId="737481F1" w14:textId="77777777" w:rsidR="002D0E99" w:rsidRDefault="000D329E">
            <w:pPr>
              <w:jc w:val="center"/>
            </w:pPr>
            <w:r>
              <w:rPr>
                <w:sz w:val="20"/>
                <w:szCs w:val="20"/>
              </w:rPr>
              <w:t>44'</w:t>
            </w:r>
          </w:p>
        </w:tc>
        <w:tc>
          <w:tcPr>
            <w:tcW w:w="0" w:type="auto"/>
            <w:tcBorders>
              <w:top w:val="single" w:sz="1" w:space="0" w:color="CCCCCC"/>
              <w:left w:val="single" w:sz="1" w:space="0" w:color="CCCCCC"/>
              <w:bottom w:val="single" w:sz="1" w:space="0" w:color="CCCCCC"/>
              <w:right w:val="single" w:sz="1" w:space="0" w:color="CCCCCC"/>
            </w:tcBorders>
          </w:tcPr>
          <w:p w14:paraId="57A9F86E" w14:textId="77777777" w:rsidR="002D0E99" w:rsidRDefault="000D329E">
            <w:pPr>
              <w:jc w:val="center"/>
            </w:pPr>
            <w:r>
              <w:rPr>
                <w:sz w:val="20"/>
                <w:szCs w:val="20"/>
              </w:rPr>
              <w:t>P2PKH (Legacy)</w:t>
            </w:r>
          </w:p>
        </w:tc>
        <w:tc>
          <w:tcPr>
            <w:tcW w:w="0" w:type="auto"/>
            <w:tcBorders>
              <w:top w:val="single" w:sz="1" w:space="0" w:color="CCCCCC"/>
              <w:left w:val="single" w:sz="1" w:space="0" w:color="CCCCCC"/>
              <w:bottom w:val="single" w:sz="1" w:space="0" w:color="CCCCCC"/>
              <w:right w:val="single" w:sz="1" w:space="0" w:color="CCCCCC"/>
            </w:tcBorders>
          </w:tcPr>
          <w:p w14:paraId="2EAC73CC" w14:textId="77777777" w:rsidR="002D0E99" w:rsidRDefault="000D329E">
            <w:pPr>
              <w:jc w:val="center"/>
            </w:pPr>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tcPr>
          <w:p w14:paraId="28E318CD" w14:textId="77777777" w:rsidR="002D0E99" w:rsidRDefault="000D329E">
            <w:pPr>
              <w:jc w:val="center"/>
            </w:pPr>
            <w:r>
              <w:rPr>
                <w:sz w:val="20"/>
                <w:szCs w:val="20"/>
              </w:rPr>
              <w:t>2014</w:t>
            </w:r>
          </w:p>
        </w:tc>
      </w:tr>
      <w:tr w:rsidR="002D0E99" w14:paraId="616DB1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92398D4" w14:textId="77777777" w:rsidR="002D0E99" w:rsidRDefault="000D329E">
            <w:pPr>
              <w:jc w:val="center"/>
            </w:pPr>
            <w:r>
              <w:rPr>
                <w:sz w:val="20"/>
                <w:szCs w:val="20"/>
              </w:rPr>
              <w:t>BIP-49</w:t>
            </w:r>
          </w:p>
        </w:tc>
        <w:tc>
          <w:tcPr>
            <w:tcW w:w="0" w:type="auto"/>
            <w:tcBorders>
              <w:top w:val="single" w:sz="1" w:space="0" w:color="CCCCCC"/>
              <w:left w:val="single" w:sz="1" w:space="0" w:color="CCCCCC"/>
              <w:bottom w:val="single" w:sz="1" w:space="0" w:color="CCCCCC"/>
              <w:right w:val="single" w:sz="1" w:space="0" w:color="CCCCCC"/>
            </w:tcBorders>
          </w:tcPr>
          <w:p w14:paraId="05AABB96" w14:textId="77777777" w:rsidR="002D0E99" w:rsidRDefault="000D329E">
            <w:pPr>
              <w:jc w:val="center"/>
            </w:pPr>
            <w:r>
              <w:rPr>
                <w:sz w:val="20"/>
                <w:szCs w:val="20"/>
              </w:rPr>
              <w:t>49'</w:t>
            </w:r>
          </w:p>
        </w:tc>
        <w:tc>
          <w:tcPr>
            <w:tcW w:w="0" w:type="auto"/>
            <w:tcBorders>
              <w:top w:val="single" w:sz="1" w:space="0" w:color="CCCCCC"/>
              <w:left w:val="single" w:sz="1" w:space="0" w:color="CCCCCC"/>
              <w:bottom w:val="single" w:sz="1" w:space="0" w:color="CCCCCC"/>
              <w:right w:val="single" w:sz="1" w:space="0" w:color="CCCCCC"/>
            </w:tcBorders>
          </w:tcPr>
          <w:p w14:paraId="01EB104F" w14:textId="77777777" w:rsidR="002D0E99" w:rsidRDefault="000D329E">
            <w:pPr>
              <w:jc w:val="center"/>
            </w:pPr>
            <w:r>
              <w:rPr>
                <w:sz w:val="20"/>
                <w:szCs w:val="20"/>
              </w:rPr>
              <w:t>P2WPKH-in-P2SH</w:t>
            </w:r>
          </w:p>
        </w:tc>
        <w:tc>
          <w:tcPr>
            <w:tcW w:w="0" w:type="auto"/>
            <w:tcBorders>
              <w:top w:val="single" w:sz="1" w:space="0" w:color="CCCCCC"/>
              <w:left w:val="single" w:sz="1" w:space="0" w:color="CCCCCC"/>
              <w:bottom w:val="single" w:sz="1" w:space="0" w:color="CCCCCC"/>
              <w:right w:val="single" w:sz="1" w:space="0" w:color="CCCCCC"/>
            </w:tcBorders>
          </w:tcPr>
          <w:p w14:paraId="31DD5D9F" w14:textId="77777777" w:rsidR="002D0E99" w:rsidRDefault="000D329E">
            <w:pPr>
              <w:jc w:val="center"/>
            </w:pPr>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tcPr>
          <w:p w14:paraId="145D7C13" w14:textId="77777777" w:rsidR="002D0E99" w:rsidRDefault="000D329E">
            <w:pPr>
              <w:jc w:val="center"/>
            </w:pPr>
            <w:r>
              <w:rPr>
                <w:sz w:val="20"/>
                <w:szCs w:val="20"/>
              </w:rPr>
              <w:t>2016</w:t>
            </w:r>
          </w:p>
        </w:tc>
      </w:tr>
      <w:tr w:rsidR="002D0E99" w14:paraId="558F2C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833081A" w14:textId="77777777" w:rsidR="002D0E99" w:rsidRDefault="000D329E">
            <w:pPr>
              <w:jc w:val="center"/>
            </w:pPr>
            <w:r>
              <w:rPr>
                <w:sz w:val="20"/>
                <w:szCs w:val="20"/>
              </w:rPr>
              <w:t>BIP-84</w:t>
            </w:r>
          </w:p>
        </w:tc>
        <w:tc>
          <w:tcPr>
            <w:tcW w:w="0" w:type="auto"/>
            <w:tcBorders>
              <w:top w:val="single" w:sz="1" w:space="0" w:color="CCCCCC"/>
              <w:left w:val="single" w:sz="1" w:space="0" w:color="CCCCCC"/>
              <w:bottom w:val="single" w:sz="1" w:space="0" w:color="CCCCCC"/>
              <w:right w:val="single" w:sz="1" w:space="0" w:color="CCCCCC"/>
            </w:tcBorders>
          </w:tcPr>
          <w:p w14:paraId="68CAB7D7" w14:textId="77777777" w:rsidR="002D0E99" w:rsidRDefault="000D329E">
            <w:pPr>
              <w:jc w:val="center"/>
            </w:pPr>
            <w:r>
              <w:rPr>
                <w:sz w:val="20"/>
                <w:szCs w:val="20"/>
              </w:rPr>
              <w:t>84'</w:t>
            </w:r>
          </w:p>
        </w:tc>
        <w:tc>
          <w:tcPr>
            <w:tcW w:w="0" w:type="auto"/>
            <w:tcBorders>
              <w:top w:val="single" w:sz="1" w:space="0" w:color="CCCCCC"/>
              <w:left w:val="single" w:sz="1" w:space="0" w:color="CCCCCC"/>
              <w:bottom w:val="single" w:sz="1" w:space="0" w:color="CCCCCC"/>
              <w:right w:val="single" w:sz="1" w:space="0" w:color="CCCCCC"/>
            </w:tcBorders>
          </w:tcPr>
          <w:p w14:paraId="43FBB09C" w14:textId="77777777" w:rsidR="002D0E99" w:rsidRDefault="000D329E">
            <w:pPr>
              <w:jc w:val="center"/>
            </w:pPr>
            <w:r>
              <w:rPr>
                <w:sz w:val="20"/>
                <w:szCs w:val="20"/>
              </w:rPr>
              <w:t>P2WPKH (Native SegWit)</w:t>
            </w:r>
          </w:p>
        </w:tc>
        <w:tc>
          <w:tcPr>
            <w:tcW w:w="0" w:type="auto"/>
            <w:tcBorders>
              <w:top w:val="single" w:sz="1" w:space="0" w:color="CCCCCC"/>
              <w:left w:val="single" w:sz="1" w:space="0" w:color="CCCCCC"/>
              <w:bottom w:val="single" w:sz="1" w:space="0" w:color="CCCCCC"/>
              <w:right w:val="single" w:sz="1" w:space="0" w:color="CCCCCC"/>
            </w:tcBorders>
          </w:tcPr>
          <w:p w14:paraId="29B33407" w14:textId="77777777" w:rsidR="002D0E99" w:rsidRDefault="000D329E">
            <w:pPr>
              <w:jc w:val="center"/>
            </w:pPr>
            <w:r>
              <w:rPr>
                <w:sz w:val="20"/>
                <w:szCs w:val="20"/>
              </w:rPr>
              <w:t>bc1q...</w:t>
            </w:r>
          </w:p>
        </w:tc>
        <w:tc>
          <w:tcPr>
            <w:tcW w:w="0" w:type="auto"/>
            <w:tcBorders>
              <w:top w:val="single" w:sz="1" w:space="0" w:color="CCCCCC"/>
              <w:left w:val="single" w:sz="1" w:space="0" w:color="CCCCCC"/>
              <w:bottom w:val="single" w:sz="1" w:space="0" w:color="CCCCCC"/>
              <w:right w:val="single" w:sz="1" w:space="0" w:color="CCCCCC"/>
            </w:tcBorders>
          </w:tcPr>
          <w:p w14:paraId="5ADFC4D6" w14:textId="77777777" w:rsidR="002D0E99" w:rsidRDefault="000D329E">
            <w:pPr>
              <w:jc w:val="center"/>
            </w:pPr>
            <w:r>
              <w:rPr>
                <w:sz w:val="20"/>
                <w:szCs w:val="20"/>
              </w:rPr>
              <w:t>2017</w:t>
            </w:r>
          </w:p>
        </w:tc>
      </w:tr>
      <w:tr w:rsidR="002D0E99" w14:paraId="14D0A9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0B831E8" w14:textId="77777777" w:rsidR="002D0E99" w:rsidRDefault="000D329E">
            <w:pPr>
              <w:jc w:val="center"/>
            </w:pPr>
            <w:r>
              <w:rPr>
                <w:sz w:val="20"/>
                <w:szCs w:val="20"/>
              </w:rPr>
              <w:t>BIP-86</w:t>
            </w:r>
          </w:p>
        </w:tc>
        <w:tc>
          <w:tcPr>
            <w:tcW w:w="0" w:type="auto"/>
            <w:tcBorders>
              <w:top w:val="single" w:sz="1" w:space="0" w:color="CCCCCC"/>
              <w:left w:val="single" w:sz="1" w:space="0" w:color="CCCCCC"/>
              <w:bottom w:val="single" w:sz="1" w:space="0" w:color="CCCCCC"/>
              <w:right w:val="single" w:sz="1" w:space="0" w:color="CCCCCC"/>
            </w:tcBorders>
          </w:tcPr>
          <w:p w14:paraId="655F9082" w14:textId="77777777" w:rsidR="002D0E99" w:rsidRDefault="000D329E">
            <w:pPr>
              <w:jc w:val="center"/>
            </w:pPr>
            <w:r>
              <w:rPr>
                <w:sz w:val="20"/>
                <w:szCs w:val="20"/>
              </w:rPr>
              <w:t>86'</w:t>
            </w:r>
          </w:p>
        </w:tc>
        <w:tc>
          <w:tcPr>
            <w:tcW w:w="0" w:type="auto"/>
            <w:tcBorders>
              <w:top w:val="single" w:sz="1" w:space="0" w:color="CCCCCC"/>
              <w:left w:val="single" w:sz="1" w:space="0" w:color="CCCCCC"/>
              <w:bottom w:val="single" w:sz="1" w:space="0" w:color="CCCCCC"/>
              <w:right w:val="single" w:sz="1" w:space="0" w:color="CCCCCC"/>
            </w:tcBorders>
          </w:tcPr>
          <w:p w14:paraId="1E37B58D" w14:textId="77777777" w:rsidR="002D0E99" w:rsidRDefault="000D329E">
            <w:pPr>
              <w:jc w:val="center"/>
            </w:pPr>
            <w:r>
              <w:rPr>
                <w:sz w:val="20"/>
                <w:szCs w:val="20"/>
              </w:rPr>
              <w:t>P2TR (Taproot)</w:t>
            </w:r>
          </w:p>
        </w:tc>
        <w:tc>
          <w:tcPr>
            <w:tcW w:w="0" w:type="auto"/>
            <w:tcBorders>
              <w:top w:val="single" w:sz="1" w:space="0" w:color="CCCCCC"/>
              <w:left w:val="single" w:sz="1" w:space="0" w:color="CCCCCC"/>
              <w:bottom w:val="single" w:sz="1" w:space="0" w:color="CCCCCC"/>
              <w:right w:val="single" w:sz="1" w:space="0" w:color="CCCCCC"/>
            </w:tcBorders>
          </w:tcPr>
          <w:p w14:paraId="5A3CB265" w14:textId="77777777" w:rsidR="002D0E99" w:rsidRDefault="000D329E">
            <w:pPr>
              <w:jc w:val="center"/>
            </w:pPr>
            <w:r>
              <w:rPr>
                <w:sz w:val="20"/>
                <w:szCs w:val="20"/>
              </w:rPr>
              <w:t>bc1p...</w:t>
            </w:r>
          </w:p>
        </w:tc>
        <w:tc>
          <w:tcPr>
            <w:tcW w:w="0" w:type="auto"/>
            <w:tcBorders>
              <w:top w:val="single" w:sz="1" w:space="0" w:color="CCCCCC"/>
              <w:left w:val="single" w:sz="1" w:space="0" w:color="CCCCCC"/>
              <w:bottom w:val="single" w:sz="1" w:space="0" w:color="CCCCCC"/>
              <w:right w:val="single" w:sz="1" w:space="0" w:color="CCCCCC"/>
            </w:tcBorders>
          </w:tcPr>
          <w:p w14:paraId="6594B42A" w14:textId="77777777" w:rsidR="002D0E99" w:rsidRDefault="000D329E">
            <w:pPr>
              <w:jc w:val="center"/>
            </w:pPr>
            <w:r>
              <w:rPr>
                <w:sz w:val="20"/>
                <w:szCs w:val="20"/>
              </w:rPr>
              <w:t>2021</w:t>
            </w:r>
          </w:p>
        </w:tc>
      </w:tr>
    </w:tbl>
    <w:p w14:paraId="2404FDC2" w14:textId="77777777" w:rsidR="002D0E99" w:rsidRDefault="000D329E">
      <w:r>
        <w:br w:type="page"/>
      </w:r>
    </w:p>
    <w:p w14:paraId="6E87C128" w14:textId="77777777" w:rsidR="002D0E99" w:rsidRDefault="000D329E">
      <w:pPr>
        <w:pStyle w:val="Heading1"/>
      </w:pPr>
      <w:bookmarkStart w:id="17" w:name="_Toc215817662"/>
      <w:r>
        <w:lastRenderedPageBreak/>
        <w:t>4. Multi-Party Computation (MPC) Wallets</w:t>
      </w:r>
      <w:bookmarkEnd w:id="17"/>
    </w:p>
    <w:p w14:paraId="690A18E2" w14:textId="77777777" w:rsidR="002D0E99" w:rsidRDefault="000D329E">
      <w:pPr>
        <w:pStyle w:val="Heading2"/>
      </w:pPr>
      <w:bookmarkStart w:id="18" w:name="_Toc215817663"/>
      <w:r>
        <w:t>4.1 Theoretical Foundations</w:t>
      </w:r>
      <w:bookmarkEnd w:id="18"/>
    </w:p>
    <w:p w14:paraId="436991F5" w14:textId="77777777" w:rsidR="002D0E99" w:rsidRDefault="000D329E">
      <w:pPr>
        <w:spacing w:after="200" w:line="276" w:lineRule="auto"/>
        <w:jc w:val="both"/>
      </w:pPr>
      <w:r>
        <w:t>Multi-Party Computation represents a cryptographic paradigm where multiple parties jointly compute a function over their inputs while keeping those inputs private. Applied to cryptocurrency wallets, MPC enables distributed key generation and transaction si</w:t>
      </w:r>
      <w:r>
        <w:t>gning without any single party ever possessing the complete private key. This property fundamentally differentiates MPC from traditional multisignature schemes, which require assembly of complete signatures from multiple keys (Yao, 1986).</w:t>
      </w:r>
    </w:p>
    <w:p w14:paraId="44114782" w14:textId="77777777" w:rsidR="002D0E99" w:rsidRDefault="000D329E">
      <w:pPr>
        <w:spacing w:after="200" w:line="276" w:lineRule="auto"/>
        <w:jc w:val="both"/>
      </w:pPr>
      <w:r>
        <w:t>The security mode</w:t>
      </w:r>
      <w:r>
        <w:t>l of MPC wallets assumes that adversaries cannot simultaneously compromise more than a threshold number of participants. Under this assumption, MPC protocols provide information-theoretic security—even computationally unbounded adversaries learn nothing ab</w:t>
      </w:r>
      <w:r>
        <w:t>out the private key beyond what is revealed by the protocol output. This strong security guarantee has driven adoption among institutional custodians managing billions of dollars in digital assets.</w:t>
      </w:r>
    </w:p>
    <w:p w14:paraId="65F12875" w14:textId="77777777" w:rsidR="002D0E99" w:rsidRDefault="000D329E">
      <w:pPr>
        <w:pStyle w:val="Heading2"/>
      </w:pPr>
      <w:bookmarkStart w:id="19" w:name="_Toc215817664"/>
      <w:r>
        <w:t>4.2 Threshold Signature Schemes</w:t>
      </w:r>
      <w:bookmarkEnd w:id="19"/>
    </w:p>
    <w:p w14:paraId="6FA9EF5C" w14:textId="77777777" w:rsidR="002D0E99" w:rsidRDefault="000D329E">
      <w:pPr>
        <w:pStyle w:val="Heading3"/>
      </w:pPr>
      <w:bookmarkStart w:id="20" w:name="_Toc215817665"/>
      <w:r>
        <w:t>4.2.1 FROST Protocol</w:t>
      </w:r>
      <w:bookmarkEnd w:id="20"/>
    </w:p>
    <w:p w14:paraId="65509AF9" w14:textId="77777777" w:rsidR="002D0E99" w:rsidRDefault="000D329E">
      <w:pPr>
        <w:spacing w:after="200" w:line="276" w:lineRule="auto"/>
        <w:jc w:val="both"/>
      </w:pPr>
      <w:r>
        <w:t>FROST</w:t>
      </w:r>
      <w:r>
        <w:t xml:space="preserve"> (Flexible Round-Optimized Schnorr Threshold signatures) represents the current state-of-the-art in threshold signature protocols, designed specifically for the Schnorr signature scheme adopted by Bitcoin's Taproot upgrade. Developed by Komlo and Goldberg </w:t>
      </w:r>
      <w:r>
        <w:t>(2020), FROST achieves two-round signing with Distributed Key Generation (DKG), eliminating the trusted dealer requirement that limited earlier threshold schemes.</w:t>
      </w:r>
    </w:p>
    <w:p w14:paraId="60563AB7" w14:textId="77777777" w:rsidR="002D0E99" w:rsidRDefault="000D329E">
      <w:pPr>
        <w:spacing w:after="200" w:line="276" w:lineRule="auto"/>
        <w:jc w:val="both"/>
      </w:pPr>
      <w:r>
        <w:t>The FROST protocol operates in two phases. The preprocessing phase generates nonce commitment</w:t>
      </w:r>
      <w:r>
        <w:t>s that can be computed before knowing the message to be signed, enabling signature generation to complete in a single additional round. The signing phase combines partial signatures from threshold participants, producing a standard Schnorr signature indist</w:t>
      </w:r>
      <w:r>
        <w:t>inguishable from single-signer output on the blockchain.</w:t>
      </w:r>
    </w:p>
    <w:p w14:paraId="67176CC6" w14:textId="77777777" w:rsidR="002D0E99" w:rsidRDefault="000D329E">
      <w:pPr>
        <w:spacing w:after="200" w:line="276" w:lineRule="auto"/>
        <w:jc w:val="both"/>
      </w:pPr>
      <w:r>
        <w:t>FROST's integration with Taproot provides significant advantages over ECDSA-based threshold protocols. Schnorr signatures support native aggregation, allowing n-of-n multisignature schemes to produce</w:t>
      </w:r>
      <w:r>
        <w:t xml:space="preserve"> single signatures without MPC complexity. Combined with FROST's threshold capabilities, this enables flexible signing policies with minimal on-chain footprint and maximum privacy preservation.</w:t>
      </w:r>
    </w:p>
    <w:p w14:paraId="08B4D029" w14:textId="77777777" w:rsidR="002D0E99" w:rsidRDefault="000D329E">
      <w:pPr>
        <w:pStyle w:val="Heading3"/>
      </w:pPr>
      <w:bookmarkStart w:id="21" w:name="_Toc215817666"/>
      <w:r>
        <w:t>4.2.2 GG18 and GG20 Protocols</w:t>
      </w:r>
      <w:bookmarkEnd w:id="21"/>
    </w:p>
    <w:p w14:paraId="1BA25B69" w14:textId="77777777" w:rsidR="002D0E99" w:rsidRDefault="000D329E">
      <w:pPr>
        <w:spacing w:after="200" w:line="276" w:lineRule="auto"/>
        <w:jc w:val="both"/>
      </w:pPr>
      <w:r>
        <w:t xml:space="preserve">The Gennaro-Goldfeder protocols </w:t>
      </w:r>
      <w:r>
        <w:t>(GG18 and GG20) provide threshold ECDSA signing capabilities essential for Ethereum and pre-Taproot Bitcoin transactions. GG18, published in 2018, established the foundational protocol requiring nine communication rounds for signing. GG20 refined this appr</w:t>
      </w:r>
      <w:r>
        <w:t>oach with improved security proofs and practical optimizations (Gennaro and Goldfeder, 2020).</w:t>
      </w:r>
    </w:p>
    <w:p w14:paraId="3E998C8F" w14:textId="77777777" w:rsidR="002D0E99" w:rsidRDefault="000D329E">
      <w:pPr>
        <w:spacing w:after="200" w:line="276" w:lineRule="auto"/>
        <w:jc w:val="both"/>
      </w:pPr>
      <w:r>
        <w:lastRenderedPageBreak/>
        <w:t>These protocols employ Paillier encryption to enable additive homomorphic operations on encrypted key shares, a technique necessary because ECDSA's multiplicative</w:t>
      </w:r>
      <w:r>
        <w:t xml:space="preserve"> structure does not naturally support threshold computation. The complexity of this approach manifests in communication overhead and computational requirements significantly exceeding those of Schnorr-based protocols.</w:t>
      </w:r>
    </w:p>
    <w:p w14:paraId="23B21362" w14:textId="77777777" w:rsidR="002D0E99" w:rsidRDefault="000D329E">
      <w:pPr>
        <w:pStyle w:val="Heading3"/>
      </w:pPr>
      <w:bookmarkStart w:id="22" w:name="_Toc215817667"/>
      <w:r>
        <w:t>4.2.3 Lindell17 Two-Party Protocol</w:t>
      </w:r>
      <w:bookmarkEnd w:id="22"/>
    </w:p>
    <w:p w14:paraId="019E4A62" w14:textId="77777777" w:rsidR="002D0E99" w:rsidRDefault="000D329E">
      <w:pPr>
        <w:spacing w:after="200" w:line="276" w:lineRule="auto"/>
        <w:jc w:val="both"/>
      </w:pPr>
      <w:r>
        <w:t xml:space="preserve">Lindell's 2017 protocol addresses the specific case of two-party ECDSA signing, achieving efficiency unattainable in the general threshold setting. The protocol uses oblivious transfer and zero-knowledge proofs to enable </w:t>
      </w:r>
      <w:r>
        <w:t>joint signing without revealing individual key shares, completing in just two communication rounds (Lindell, 2017).</w:t>
      </w:r>
    </w:p>
    <w:p w14:paraId="3098326C" w14:textId="77777777" w:rsidR="002D0E99" w:rsidRDefault="000D329E">
      <w:pPr>
        <w:spacing w:after="200" w:line="276" w:lineRule="auto"/>
        <w:jc w:val="both"/>
      </w:pPr>
      <w:r>
        <w:t>The two-party setting has practical importance for institutional custody where dual control policies require two separate entities (e.g., customer and custodian) to authorize transactions. Lindell17's efficiency makes it suitable for latency-sensitive appl</w:t>
      </w:r>
      <w:r>
        <w:t>ications while maintaining the security guarantees required for high-value transactions.</w:t>
      </w:r>
    </w:p>
    <w:p w14:paraId="59D32224" w14:textId="77777777" w:rsidR="002D0E99" w:rsidRDefault="000D329E">
      <w:pPr>
        <w:pStyle w:val="Heading2"/>
      </w:pPr>
      <w:bookmarkStart w:id="23" w:name="_Toc215817668"/>
      <w:r>
        <w:t>4.3 MPC vs. Multisignature Comparison</w:t>
      </w:r>
      <w:bookmarkEnd w:id="23"/>
    </w:p>
    <w:p w14:paraId="13D19A4E" w14:textId="77777777" w:rsidR="002D0E99" w:rsidRDefault="000D329E">
      <w:pPr>
        <w:spacing w:after="200" w:line="276" w:lineRule="auto"/>
        <w:jc w:val="both"/>
      </w:pPr>
      <w:r>
        <w:t>The distinction between MPC and multisignature approaches reflects fundamental architectural trade-offs. Traditional multisignatu</w:t>
      </w:r>
      <w:r>
        <w:t>re schemes (e.g., Bitcoin's OP_CHECKMULTISIG) require multiple complete signatures, each generated from a complete private key. The resulting transactions reveal the signing policy on-chain, increasing fees proportionally to signer count and reducing priva</w:t>
      </w:r>
      <w:r>
        <w:t>cy.</w:t>
      </w:r>
    </w:p>
    <w:p w14:paraId="6B196E9C" w14:textId="77777777" w:rsidR="002D0E99" w:rsidRDefault="000D329E">
      <w:pPr>
        <w:spacing w:after="200" w:line="276" w:lineRule="auto"/>
        <w:jc w:val="both"/>
      </w:pPr>
      <w:r>
        <w:t>MPC wallets, by contrast, produce single standard signatures regardless of the number of participants in the signing protocol. This property provides substantial advantages across multiple dimensions. Transaction fees remain constant regardless of sign</w:t>
      </w:r>
      <w:r>
        <w:t>er count since the on-chain footprint is identical to single-signature transactions. Privacy improves because observers cannot distinguish threshold-signed transactions from those signed by individual keys. Flexibility increases because signing policies ca</w:t>
      </w:r>
      <w:r>
        <w:t>n be modified through off-chain key resharing without blockchain transactions.</w:t>
      </w:r>
    </w:p>
    <w:p w14:paraId="49B5536D" w14:textId="77777777" w:rsidR="002D0E99" w:rsidRDefault="000D329E">
      <w:pPr>
        <w:spacing w:after="200" w:line="276" w:lineRule="auto"/>
        <w:jc w:val="both"/>
      </w:pPr>
      <w:r>
        <w:t>The trade-off favoring multisignature appears primarily in transparency requirements. Organizations subject to audit may prefer the verifiable on-chain record that multisignatur</w:t>
      </w:r>
      <w:r>
        <w:t>e provides, demonstrating that proper approval processes were followed. Additionally, multisignature implementations are simpler and have undergone more extensive review, reducing implementation risk compared to complex MPC protocols.</w:t>
      </w:r>
    </w:p>
    <w:p w14:paraId="4C4E6712" w14:textId="77777777" w:rsidR="002D0E99" w:rsidRDefault="000D329E">
      <w:pPr>
        <w:pStyle w:val="Heading2"/>
      </w:pPr>
      <w:bookmarkStart w:id="24" w:name="_Toc215817669"/>
      <w:r>
        <w:t>4.4 Industrial Adopti</w:t>
      </w:r>
      <w:r>
        <w:t>on and Implementations</w:t>
      </w:r>
      <w:bookmarkEnd w:id="24"/>
    </w:p>
    <w:p w14:paraId="76D4FBA5" w14:textId="77777777" w:rsidR="002D0E99" w:rsidRDefault="000D329E">
      <w:pPr>
        <w:spacing w:after="200" w:line="276" w:lineRule="auto"/>
        <w:jc w:val="both"/>
      </w:pPr>
      <w:r>
        <w:t>The institutional custody market has broadly adopted MPC technology, with major providers including Fireblocks, ZenGo, Coinbase, and OKX implementing threshold signature protocols. Fireblocks reported securing over $4 trillion in cum</w:t>
      </w:r>
      <w:r>
        <w:t>ulative transaction value by 2024, demonstrating the scale of MPC adoption in enterprise contexts.</w:t>
      </w:r>
    </w:p>
    <w:p w14:paraId="63C6EE89" w14:textId="77777777" w:rsidR="002D0E99" w:rsidRDefault="000D329E">
      <w:pPr>
        <w:spacing w:after="200" w:line="276" w:lineRule="auto"/>
        <w:jc w:val="both"/>
      </w:pPr>
      <w:r>
        <w:lastRenderedPageBreak/>
        <w:t>Implementation approaches vary across providers. Fireblocks employs a hybrid MPC-TEE (Trusted Execution Environment) architecture, combining cryptographic di</w:t>
      </w:r>
      <w:r>
        <w:t>stribution with hardware isolation. ZenGo pioneered consumer-facing MPC with its three-share model distributing keys between user device, ZenGo servers, and cloud backup. Coinbase's institutional custody platform uses MPC for its cold storage systems while</w:t>
      </w:r>
      <w:r>
        <w:t xml:space="preserve"> maintaining hot wallet availability through separate infrastructure.</w:t>
      </w:r>
    </w:p>
    <w:p w14:paraId="61B9F8E0" w14:textId="77777777" w:rsidR="002D0E99" w:rsidRDefault="000D329E">
      <w:pPr>
        <w:pStyle w:val="Heading2"/>
      </w:pPr>
      <w:bookmarkStart w:id="25" w:name="_Toc215817670"/>
      <w:r>
        <w:t>4.5 Security Vulnerabilities: BitForge Analysis</w:t>
      </w:r>
      <w:bookmarkEnd w:id="25"/>
    </w:p>
    <w:p w14:paraId="368D93ED" w14:textId="77777777" w:rsidR="002D0E99" w:rsidRDefault="000D329E">
      <w:pPr>
        <w:spacing w:after="200" w:line="276" w:lineRule="auto"/>
        <w:jc w:val="both"/>
      </w:pPr>
      <w:r>
        <w:t>In August 2023, Fireblocks' research team disclosed critical vulnerabilities in widely deployed MPC implementations, collectively named Bi</w:t>
      </w:r>
      <w:r>
        <w:t>tForge. The vulnerabilities affected implementations of GG-18, GG-20, and Lindell17 protocols across more than fifteen wallet providers including Coinbase, ZenGo, and Binance (Fireblocks, 2023).</w:t>
      </w:r>
    </w:p>
    <w:p w14:paraId="7070A9CF" w14:textId="77777777" w:rsidR="002D0E99" w:rsidRDefault="000D329E">
      <w:pPr>
        <w:spacing w:after="200" w:line="276" w:lineRule="auto"/>
        <w:jc w:val="both"/>
      </w:pPr>
      <w:r>
        <w:t>The BitForge vulnerabilities stemmed from improper handling o</w:t>
      </w:r>
      <w:r>
        <w:t xml:space="preserve">f randomness in key generation and signing phases. In affected GG-18/GG-20 implementations, malicious participants could extract key shares from honest parties through carefully crafted protocol messages. The Lindell17 vulnerability enabled key extraction </w:t>
      </w:r>
      <w:r>
        <w:t>through approximately 200 signing attempts, practical for any attacker with sustained access to a signing service.</w:t>
      </w:r>
    </w:p>
    <w:p w14:paraId="2D2F6BAD" w14:textId="77777777" w:rsidR="002D0E99" w:rsidRDefault="000D329E">
      <w:pPr>
        <w:spacing w:after="200" w:line="276" w:lineRule="auto"/>
        <w:jc w:val="both"/>
      </w:pPr>
      <w:r>
        <w:t>The disclosure process and industry response demonstrated both the severity of MPC implementation challenges and the maturing security practi</w:t>
      </w:r>
      <w:r>
        <w:t xml:space="preserve">ces of the cryptocurrency industry. Fireblocks coordinated disclosure with affected parties, enabling patches before public announcement. Major providers including Coinbase confirmed remediation within days of notification, limiting potential exploitation </w:t>
      </w:r>
      <w:r>
        <w:t>windows.</w:t>
      </w:r>
    </w:p>
    <w:p w14:paraId="0F42A0E5" w14:textId="77777777" w:rsidR="002D0E99" w:rsidRDefault="000D329E">
      <w:r>
        <w:br w:type="page"/>
      </w:r>
    </w:p>
    <w:p w14:paraId="0A232AE4" w14:textId="77777777" w:rsidR="002D0E99" w:rsidRDefault="000D329E">
      <w:pPr>
        <w:pStyle w:val="Heading1"/>
      </w:pPr>
      <w:bookmarkStart w:id="26" w:name="_Toc215817671"/>
      <w:r>
        <w:lastRenderedPageBreak/>
        <w:t>5. Account Abstraction: Programmable Wallets</w:t>
      </w:r>
      <w:bookmarkEnd w:id="26"/>
    </w:p>
    <w:p w14:paraId="02311B10" w14:textId="77777777" w:rsidR="002D0E99" w:rsidRDefault="000D329E">
      <w:pPr>
        <w:pStyle w:val="Heading2"/>
      </w:pPr>
      <w:bookmarkStart w:id="27" w:name="_Toc215817672"/>
      <w:r>
        <w:t>5.1 The Account Model Problem</w:t>
      </w:r>
      <w:bookmarkEnd w:id="27"/>
    </w:p>
    <w:p w14:paraId="30E7EB10" w14:textId="77777777" w:rsidR="002D0E99" w:rsidRDefault="000D329E">
      <w:pPr>
        <w:spacing w:after="200" w:line="276" w:lineRule="auto"/>
        <w:jc w:val="both"/>
      </w:pPr>
      <w:r>
        <w:t>Ethereum's account model distinguishes between Externally Owned Accounts (EOAs), controlled by private keys, and Contract Accounts, controlled by code. This distinction c</w:t>
      </w:r>
      <w:r>
        <w:t>reates fundamental limitations for user experience and security. EOAs cannot implement custom validation logic, spending limits, social recovery, or transaction batching—features that smart contract wallets provide but at the cost of requiring a separate E</w:t>
      </w:r>
      <w:r>
        <w:t>OA to initiate transactions (Buterin et al., 2021).</w:t>
      </w:r>
    </w:p>
    <w:p w14:paraId="4C318BC6" w14:textId="77777777" w:rsidR="002D0E99" w:rsidRDefault="000D329E">
      <w:pPr>
        <w:spacing w:after="200" w:line="276" w:lineRule="auto"/>
        <w:jc w:val="both"/>
      </w:pPr>
      <w:r>
        <w:t>The limitations of EOAs become particularly problematic for mainstream adoption. Users cannot recover access if they lose their private key. Gas fees must be paid in ETH, complicating onboarding for users</w:t>
      </w:r>
      <w:r>
        <w:t xml:space="preserve"> holding only other tokens. Each operation requires a separate transaction, increasing costs and complexity for common workflows. These constraints have motivated years of research into account abstraction solutions.</w:t>
      </w:r>
    </w:p>
    <w:p w14:paraId="23CBF5EF" w14:textId="77777777" w:rsidR="002D0E99" w:rsidRDefault="000D329E">
      <w:pPr>
        <w:pStyle w:val="Heading2"/>
      </w:pPr>
      <w:bookmarkStart w:id="28" w:name="_Toc215817673"/>
      <w:r>
        <w:t>5.2 ERC-4337: Permissionless Account Ab</w:t>
      </w:r>
      <w:r>
        <w:t>straction</w:t>
      </w:r>
      <w:bookmarkEnd w:id="28"/>
    </w:p>
    <w:p w14:paraId="62A6A4D8" w14:textId="77777777" w:rsidR="002D0E99" w:rsidRDefault="000D329E">
      <w:pPr>
        <w:spacing w:after="200" w:line="276" w:lineRule="auto"/>
        <w:jc w:val="both"/>
      </w:pPr>
      <w:r>
        <w:t>ERC-4337, proposed in September 2021 by Vitalik Buterin, Yoav Weiss, Dror Tirosh, Shahaf Nacson, Alex Forshtat, Kristof Gazso, and Tjaden Hess, introduced account abstraction without requiring consensus-layer protocol changes. The specification d</w:t>
      </w:r>
      <w:r>
        <w:t>efines a new transaction type called UserOperation that enables smart contract wallets to initiate transactions without relying on EOA intermediaries (Buterin et al., 2021).</w:t>
      </w:r>
    </w:p>
    <w:p w14:paraId="2E0ED633" w14:textId="77777777" w:rsidR="002D0E99" w:rsidRDefault="000D329E">
      <w:pPr>
        <w:spacing w:after="200" w:line="276" w:lineRule="auto"/>
        <w:jc w:val="both"/>
      </w:pPr>
      <w:r>
        <w:t>The ERC-4337 architecture introduces several new system components. UserOperations</w:t>
      </w:r>
      <w:r>
        <w:t xml:space="preserve"> are pseudo-transaction objects containing sender, calldata, gas parameters, and signature. Bundlers collect UserOperations from an alternative mempool and submit them to the blockchain as standard transactions. The EntryPoint contract serves as the single</w:t>
      </w:r>
      <w:r>
        <w:t>ton entry point for all UserOperation execution, validating signatures and managing gas accounting. Paymasters enable third-party gas sponsorship, allowing users to transact without holding ETH.</w:t>
      </w:r>
    </w:p>
    <w:p w14:paraId="0A3C334E" w14:textId="77777777" w:rsidR="002D0E99" w:rsidRDefault="000D329E">
      <w:pPr>
        <w:spacing w:after="200" w:line="276" w:lineRule="auto"/>
        <w:jc w:val="both"/>
      </w:pPr>
      <w:r>
        <w:t>The security model of ERC-4337 carefully balances flexibility</w:t>
      </w:r>
      <w:r>
        <w:t xml:space="preserve"> with DoS resistance. Bundlers perform simulation before inclusion to verify operations will execute successfully, protecting against invalid operations consuming resources. The separation between validation and execution phases enables deterministic fee e</w:t>
      </w:r>
      <w:r>
        <w:t>stimation while preventing griefing attacks on the bundler network.</w:t>
      </w:r>
    </w:p>
    <w:p w14:paraId="4288E378" w14:textId="77777777" w:rsidR="002D0E99" w:rsidRDefault="000D329E">
      <w:pPr>
        <w:pStyle w:val="Heading2"/>
      </w:pPr>
      <w:bookmarkStart w:id="29" w:name="_Toc215817674"/>
      <w:r>
        <w:t>5.3 EIP-7702: Native EOA Delegation</w:t>
      </w:r>
      <w:bookmarkEnd w:id="29"/>
    </w:p>
    <w:p w14:paraId="188B4BE9" w14:textId="77777777" w:rsidR="002D0E99" w:rsidRDefault="000D329E">
      <w:pPr>
        <w:spacing w:after="200" w:line="276" w:lineRule="auto"/>
        <w:jc w:val="both"/>
      </w:pPr>
      <w:r>
        <w:t xml:space="preserve">EIP-7702, proposed by Vitalik Buterin in May 2024 and activated with the Pectra upgrade on Ethereum mainnet on May 7, 2025, enables EOAs to temporarily </w:t>
      </w:r>
      <w:r>
        <w:t>delegate their validation to smart contract code. This approach preserves EOA simplicity while enabling smart wallet features on a per-transaction basis (Buterin, 2024).</w:t>
      </w:r>
    </w:p>
    <w:p w14:paraId="32EBF0E7" w14:textId="77777777" w:rsidR="002D0E99" w:rsidRDefault="000D329E">
      <w:pPr>
        <w:spacing w:after="200" w:line="276" w:lineRule="auto"/>
        <w:jc w:val="both"/>
      </w:pPr>
      <w:r>
        <w:lastRenderedPageBreak/>
        <w:t>The EIP-7702 mechanism introduces Type 4 transactions containing a delegation designat</w:t>
      </w:r>
      <w:r>
        <w:t>ion specifying the contract address containing validation logic. When processing such transactions, the EVM executes the designated contract's validation code in the context of the EOA, enabling custom signature schemes, batched operations, and gas sponsor</w:t>
      </w:r>
      <w:r>
        <w:t>ship while maintaining backward compatibility with existing infrastructure.</w:t>
      </w:r>
    </w:p>
    <w:p w14:paraId="20859DCB" w14:textId="77777777" w:rsidR="002D0E99" w:rsidRDefault="000D329E">
      <w:pPr>
        <w:spacing w:after="200" w:line="276" w:lineRule="auto"/>
        <w:jc w:val="both"/>
      </w:pPr>
      <w:r>
        <w:t>The relationship between ERC-4337 and EIP-7702 is complementary rather than competitive. ERC-4337 provides the full smart contract wallet experience with persistent contract deploy</w:t>
      </w:r>
      <w:r>
        <w:t>ment, while EIP-7702 enables EOA users to access similar functionality without deploying contracts. The Pectra upgrade's implementation ensures that both approaches interoperate, enabling gradual migration paths for users and applications.</w:t>
      </w:r>
    </w:p>
    <w:p w14:paraId="41034059" w14:textId="77777777" w:rsidR="002D0E99" w:rsidRDefault="000D329E">
      <w:pPr>
        <w:pStyle w:val="Heading2"/>
      </w:pPr>
      <w:bookmarkStart w:id="30" w:name="_Toc215817675"/>
      <w:r>
        <w:t>5.4 Smart Contract Wallet Implementations</w:t>
      </w:r>
      <w:bookmarkEnd w:id="30"/>
    </w:p>
    <w:p w14:paraId="34C87ABD" w14:textId="77777777" w:rsidR="002D0E99" w:rsidRDefault="000D329E">
      <w:pPr>
        <w:pStyle w:val="Heading3"/>
      </w:pPr>
      <w:bookmarkStart w:id="31" w:name="_Toc215817676"/>
      <w:r>
        <w:t>5.4.1 Safe (formerly Gnosis Safe)</w:t>
      </w:r>
      <w:bookmarkEnd w:id="31"/>
    </w:p>
    <w:p w14:paraId="0A19676D" w14:textId="77777777" w:rsidR="002D0E99" w:rsidRDefault="000D329E">
      <w:pPr>
        <w:spacing w:after="200" w:line="276" w:lineRule="auto"/>
        <w:jc w:val="both"/>
      </w:pPr>
      <w:r>
        <w:t>Safe represents the most widely deployed smart contract wallet infrastructure, securing over $100 billion in digital assets across more than four million deployed safes. The modula</w:t>
      </w:r>
      <w:r>
        <w:t>r architecture supports configurable multisignature requirements, spending limits, whitelisted addresses, and integration with DeFi protocols through a standardized module interface (Safe, 2024).</w:t>
      </w:r>
    </w:p>
    <w:p w14:paraId="0BA16E02" w14:textId="77777777" w:rsidR="002D0E99" w:rsidRDefault="000D329E">
      <w:pPr>
        <w:spacing w:after="200" w:line="276" w:lineRule="auto"/>
        <w:jc w:val="both"/>
      </w:pPr>
      <w:r>
        <w:t>The Safe architecture employs a proxy pattern where lightwei</w:t>
      </w:r>
      <w:r>
        <w:t xml:space="preserve">ght proxy contracts delegate to a shared implementation, minimizing deployment costs while enabling upgradability. Guard contracts enable pre and post-transaction checks, supporting compliance requirements and operational controls. The extensive ecosystem </w:t>
      </w:r>
      <w:r>
        <w:t>of modules, guards, and integrations has established Safe as the de facto standard for organizational treasury management.</w:t>
      </w:r>
    </w:p>
    <w:p w14:paraId="4B05F90D" w14:textId="77777777" w:rsidR="002D0E99" w:rsidRDefault="000D329E">
      <w:pPr>
        <w:pStyle w:val="Heading3"/>
      </w:pPr>
      <w:bookmarkStart w:id="32" w:name="_Toc215817677"/>
      <w:r>
        <w:t>5.4.2 Trust Wallet SWIFT</w:t>
      </w:r>
      <w:bookmarkEnd w:id="32"/>
    </w:p>
    <w:p w14:paraId="3F3035A6" w14:textId="77777777" w:rsidR="002D0E99" w:rsidRDefault="000D329E">
      <w:pPr>
        <w:spacing w:after="200" w:line="276" w:lineRule="auto"/>
        <w:jc w:val="both"/>
      </w:pPr>
      <w:r>
        <w:t>Trust Wallet's SWIFT (Smart Wallet for Intelligent Fund Transfers) implementation, launched in February 2024</w:t>
      </w:r>
      <w:r>
        <w:t>, represents the first major mobile wallet to integrate ERC-4337 account abstraction. The implementation enables gas sponsorship for new users, social recovery through trusted contacts, and transaction batching—features previously available only through de</w:t>
      </w:r>
      <w:r>
        <w:t>dicated smart contract wallet applications.</w:t>
      </w:r>
    </w:p>
    <w:p w14:paraId="3786F78C" w14:textId="77777777" w:rsidR="002D0E99" w:rsidRDefault="000D329E">
      <w:pPr>
        <w:pStyle w:val="Heading3"/>
      </w:pPr>
      <w:bookmarkStart w:id="33" w:name="_Toc215817678"/>
      <w:r>
        <w:t>5.4.3 Argent</w:t>
      </w:r>
      <w:bookmarkEnd w:id="33"/>
    </w:p>
    <w:p w14:paraId="4FD39252" w14:textId="77777777" w:rsidR="002D0E99" w:rsidRDefault="000D329E">
      <w:pPr>
        <w:spacing w:after="200" w:line="276" w:lineRule="auto"/>
        <w:jc w:val="both"/>
      </w:pPr>
      <w:r>
        <w:t>Argent pioneered the concept of social recovery wallets when launched in 2018, predating ERC-4337 with a custom smart contract architecture. The wallet implements guardian-based recovery, daily trans</w:t>
      </w:r>
      <w:r>
        <w:t>action limits, and DeFi integrations through a user-friendly mobile interface. Argent's subsequent adoption of ERC-4337 infrastructure demonstrates the standard's compatibility with established smart wallet designs.</w:t>
      </w:r>
    </w:p>
    <w:p w14:paraId="02A1332D" w14:textId="77777777" w:rsidR="002D0E99" w:rsidRDefault="000D329E">
      <w:pPr>
        <w:pStyle w:val="Heading2"/>
      </w:pPr>
      <w:bookmarkStart w:id="34" w:name="_Toc215817679"/>
      <w:r>
        <w:t>5.5 Infrastructure Development</w:t>
      </w:r>
      <w:bookmarkEnd w:id="34"/>
    </w:p>
    <w:p w14:paraId="7D350196" w14:textId="77777777" w:rsidR="002D0E99" w:rsidRDefault="000D329E">
      <w:pPr>
        <w:spacing w:after="200" w:line="276" w:lineRule="auto"/>
        <w:jc w:val="both"/>
      </w:pPr>
      <w:r>
        <w:lastRenderedPageBreak/>
        <w:t>The accou</w:t>
      </w:r>
      <w:r>
        <w:t>nt abstraction ecosystem has developed specialized infrastructure supporting the ERC-4337 standard. The Ethereum Foundation, in collaboration with Etherspot, Fastlane, and Candide, launched a decentralized peer-to-peer mempool for UserOperations in 2024, a</w:t>
      </w:r>
      <w:r>
        <w:t>ddressing centralization concerns that arose from early bundler implementations.</w:t>
      </w:r>
    </w:p>
    <w:p w14:paraId="758AD931" w14:textId="77777777" w:rsidR="002D0E99" w:rsidRDefault="000D329E">
      <w:pPr>
        <w:spacing w:after="200" w:line="276" w:lineRule="auto"/>
        <w:jc w:val="both"/>
      </w:pPr>
      <w:r>
        <w:t>The ERC-7779 standard, proposed in 2024, addresses smart wallet development complexity by defining unified interfaces for account abstraction implementations. This standardiza</w:t>
      </w:r>
      <w:r>
        <w:t>tion effort aims to reduce fragmentation across the dozens of smart wallet implementations that have emerged, enabling portable plugins and consistent user experiences across wallet providers.</w:t>
      </w:r>
    </w:p>
    <w:p w14:paraId="6ABB2DC0" w14:textId="77777777" w:rsidR="002D0E99" w:rsidRDefault="000D329E">
      <w:r>
        <w:br w:type="page"/>
      </w:r>
    </w:p>
    <w:p w14:paraId="29D70FD2" w14:textId="77777777" w:rsidR="002D0E99" w:rsidRDefault="000D329E">
      <w:pPr>
        <w:pStyle w:val="Heading1"/>
      </w:pPr>
      <w:bookmarkStart w:id="35" w:name="_Toc215817680"/>
      <w:r>
        <w:lastRenderedPageBreak/>
        <w:t>6. Bitcoin Taproot: Schnorr Signatures and Script Privacy</w:t>
      </w:r>
      <w:bookmarkEnd w:id="35"/>
    </w:p>
    <w:p w14:paraId="3A86A270" w14:textId="77777777" w:rsidR="002D0E99" w:rsidRDefault="000D329E">
      <w:pPr>
        <w:pStyle w:val="Heading2"/>
      </w:pPr>
      <w:bookmarkStart w:id="36" w:name="_Toc215817681"/>
      <w:r>
        <w:t>6.1</w:t>
      </w:r>
      <w:r>
        <w:t xml:space="preserve"> Activation and Overview</w:t>
      </w:r>
      <w:bookmarkEnd w:id="36"/>
    </w:p>
    <w:p w14:paraId="5A127089" w14:textId="77777777" w:rsidR="002D0E99" w:rsidRDefault="000D329E">
      <w:pPr>
        <w:spacing w:after="200" w:line="276" w:lineRule="auto"/>
        <w:jc w:val="both"/>
      </w:pPr>
      <w:r>
        <w:t>The Taproot soft fork, comprising BIP-340 (Schnorr Signatures), BIP-341 (Taproot), and BIP-342 (Tapscript), activated at Bitcoin block 709,632 on November 12, 2021. The upgrade achieved over 90% miner signaling support, demonstrati</w:t>
      </w:r>
      <w:r>
        <w:t>ng broad consensus for the most significant Bitcoin protocol enhancement since Segregated Witness in 2017 (Bitcoin Core, 2021).</w:t>
      </w:r>
    </w:p>
    <w:p w14:paraId="10742D69" w14:textId="77777777" w:rsidR="002D0E99" w:rsidRDefault="000D329E">
      <w:pPr>
        <w:spacing w:after="200" w:line="276" w:lineRule="auto"/>
        <w:jc w:val="both"/>
      </w:pPr>
      <w:r>
        <w:t>Taproot fundamentally changes how complex Bitcoin transactions appear on-chain. Prior to Taproot, multisignature arrangements, t</w:t>
      </w:r>
      <w:r>
        <w:t>ime-locked contracts, and other advanced scripts revealed their full complexity when spent. Taproot's Merkelized Alternative Script Tree (MAST) construction enables complex scripts to appear identical to simple single-signature transactions in the common c</w:t>
      </w:r>
      <w:r>
        <w:t>ase, dramatically improving privacy and reducing fees.</w:t>
      </w:r>
    </w:p>
    <w:p w14:paraId="53FECF5D" w14:textId="77777777" w:rsidR="002D0E99" w:rsidRDefault="000D329E">
      <w:pPr>
        <w:pStyle w:val="Heading2"/>
      </w:pPr>
      <w:bookmarkStart w:id="37" w:name="_Toc215817682"/>
      <w:r>
        <w:t>6.2 BIP-340: Schnorr Signatures</w:t>
      </w:r>
      <w:bookmarkEnd w:id="37"/>
    </w:p>
    <w:p w14:paraId="716601CB" w14:textId="77777777" w:rsidR="002D0E99" w:rsidRDefault="000D329E">
      <w:pPr>
        <w:spacing w:after="200" w:line="276" w:lineRule="auto"/>
        <w:jc w:val="both"/>
      </w:pPr>
      <w:r>
        <w:t xml:space="preserve">BIP-340 specifies Schnorr signatures for Bitcoin, replacing the ECDSA algorithm used since Bitcoin's inception. Schnorr signatures offer several mathematical advantages </w:t>
      </w:r>
      <w:r>
        <w:t>over ECDSA while maintaining equivalent security under standard cryptographic assumptions (Wuille, 2020).</w:t>
      </w:r>
    </w:p>
    <w:p w14:paraId="715FAEDF" w14:textId="77777777" w:rsidR="002D0E99" w:rsidRDefault="000D329E">
      <w:pPr>
        <w:spacing w:after="200" w:line="276" w:lineRule="auto"/>
        <w:jc w:val="both"/>
      </w:pPr>
      <w:r>
        <w:t>Schnorr signatures produce 64-byte outputs compared to ECDSA's variable 70-72 bytes, providing immediate space savings. More significantly, Schnorr su</w:t>
      </w:r>
      <w:r>
        <w:t>pports linear signature aggregation—multiple signatures can be combined into a single signature mathematically indistinguishable from a single-signer output. This property enables MuSig2, a two-round interactive protocol producing n-of-n multisignatures wi</w:t>
      </w:r>
      <w:r>
        <w:t>th minimal on-chain footprint.</w:t>
      </w:r>
    </w:p>
    <w:p w14:paraId="7EC49107" w14:textId="77777777" w:rsidR="002D0E99" w:rsidRDefault="000D329E">
      <w:pPr>
        <w:spacing w:after="200" w:line="276" w:lineRule="auto"/>
        <w:jc w:val="both"/>
      </w:pPr>
      <w:r>
        <w:t xml:space="preserve">The security proof for Schnorr signatures is simpler and stronger than ECDSA's, reducing the cryptographic attack surface. Additionally, Schnorr's linearity eliminates signature malleability concerns that complicated Bitcoin </w:t>
      </w:r>
      <w:r>
        <w:t>development prior to SegWit, simplifying protocol design for higher-layer systems including Lightning Network implementations.</w:t>
      </w:r>
    </w:p>
    <w:p w14:paraId="55FCA8A9" w14:textId="77777777" w:rsidR="002D0E99" w:rsidRDefault="000D329E">
      <w:pPr>
        <w:pStyle w:val="Heading2"/>
      </w:pPr>
      <w:bookmarkStart w:id="38" w:name="_Toc215817683"/>
      <w:r>
        <w:t>6.3 BIP-341: Taproot Construction</w:t>
      </w:r>
      <w:bookmarkEnd w:id="38"/>
    </w:p>
    <w:p w14:paraId="58DF439E" w14:textId="77777777" w:rsidR="002D0E99" w:rsidRDefault="000D329E">
      <w:pPr>
        <w:spacing w:after="200" w:line="276" w:lineRule="auto"/>
        <w:jc w:val="both"/>
      </w:pPr>
      <w:r>
        <w:t>BIP-341 defines the Taproot output type (P2TR), which encodes either a single public key for ke</w:t>
      </w:r>
      <w:r>
        <w:t>y-path spending or a commitment to a Merkle tree of scripts for script-path spending. The construction ensures that key-path spends—the expected common case—reveal nothing about alternative spending conditions that may have been available (Wuille, 2020).</w:t>
      </w:r>
    </w:p>
    <w:p w14:paraId="0831F7A4" w14:textId="77777777" w:rsidR="002D0E99" w:rsidRDefault="000D329E">
      <w:pPr>
        <w:spacing w:after="200" w:line="276" w:lineRule="auto"/>
        <w:jc w:val="both"/>
      </w:pPr>
      <w:r>
        <w:t xml:space="preserve">A Taproot output commits to a tweaked public key Q = P + H(P||m)·G, where P is an internal public key, m is the Merkle root of the script tree (or empty for key-only outputs), H is a tagged hash function, and G is the generator point. Spending via the key </w:t>
      </w:r>
      <w:r>
        <w:t>path requires a Schnorr signature for Q, while script-path spending reveals the internal key P, a proof of script inclusion, and satisfies the revealed script.</w:t>
      </w:r>
    </w:p>
    <w:p w14:paraId="7FF60FFD" w14:textId="77777777" w:rsidR="002D0E99" w:rsidRDefault="000D329E">
      <w:pPr>
        <w:spacing w:after="200" w:line="276" w:lineRule="auto"/>
        <w:jc w:val="both"/>
      </w:pPr>
      <w:r>
        <w:lastRenderedPageBreak/>
        <w:t>The privacy implications of this construction are profound. Observers cannot distinguish single-</w:t>
      </w:r>
      <w:r>
        <w:t>signature outputs from complex multisignature or conditional spending arrangements until and unless a script path is used. When cooperative closes are possible (the common case for Lightning channels, escrow arrangements, and many smart contracts), the ful</w:t>
      </w:r>
      <w:r>
        <w:t>l script complexity remains hidden, indistinguishable from ordinary payments.</w:t>
      </w:r>
    </w:p>
    <w:p w14:paraId="1DD04CB5" w14:textId="77777777" w:rsidR="002D0E99" w:rsidRDefault="000D329E">
      <w:pPr>
        <w:pStyle w:val="Heading2"/>
      </w:pPr>
      <w:bookmarkStart w:id="39" w:name="_Toc215817684"/>
      <w:r>
        <w:t>6.4 BIP-342: Tapscript</w:t>
      </w:r>
      <w:bookmarkEnd w:id="39"/>
    </w:p>
    <w:p w14:paraId="5B1B6F87" w14:textId="77777777" w:rsidR="002D0E99" w:rsidRDefault="000D329E">
      <w:pPr>
        <w:spacing w:after="200" w:line="276" w:lineRule="auto"/>
        <w:jc w:val="both"/>
      </w:pPr>
      <w:r>
        <w:t xml:space="preserve">BIP-342 defines Tapscript, an updated scripting language for Taproot script-path spends. Tapscript modifies several Bitcoin Script opcodes to optimize for </w:t>
      </w:r>
      <w:r>
        <w:t>Schnorr signatures and enables future softfork extensions through the OP_SUCCESS mechanism (Wuille, 2020).</w:t>
      </w:r>
    </w:p>
    <w:p w14:paraId="46927B97" w14:textId="77777777" w:rsidR="002D0E99" w:rsidRDefault="000D329E">
      <w:pPr>
        <w:spacing w:after="200" w:line="276" w:lineRule="auto"/>
        <w:jc w:val="both"/>
      </w:pPr>
      <w:r>
        <w:t>Key Tapscript changes include replacement of ECDSA signature checking opcodes with Schnorr equivalents, removal of CHECKMULTISIG in favor of explicit</w:t>
      </w:r>
      <w:r>
        <w:t xml:space="preserve"> multi-signature validation patterns, and introduction of tagged hashes that domain-separate different protocol contexts. These modifications simplify script verification while enabling more efficient complex spending conditions.</w:t>
      </w:r>
    </w:p>
    <w:p w14:paraId="7C9C18C2" w14:textId="77777777" w:rsidR="002D0E99" w:rsidRDefault="000D329E">
      <w:pPr>
        <w:pStyle w:val="Heading2"/>
      </w:pPr>
      <w:bookmarkStart w:id="40" w:name="_Toc215817685"/>
      <w:r>
        <w:t>6.5 Practical Implications for Wallets</w:t>
      </w:r>
      <w:bookmarkEnd w:id="40"/>
    </w:p>
    <w:p w14:paraId="0B6EC091" w14:textId="77777777" w:rsidR="002D0E99" w:rsidRDefault="000D329E">
      <w:pPr>
        <w:spacing w:after="200" w:line="276" w:lineRule="auto"/>
        <w:jc w:val="both"/>
      </w:pPr>
      <w:r>
        <w:t>Wallet implementations supporting Taproot derive keys according to BIP-86 (purpose 86'), generating bech32m addresses with bc1p prefix. These addresses indicate P2TR outputs compatible with both key-path and script-pa</w:t>
      </w:r>
      <w:r>
        <w:t>th spending, though the overwhelming majority of current usage employs simple key-path spends.</w:t>
      </w:r>
    </w:p>
    <w:p w14:paraId="32DE3858" w14:textId="77777777" w:rsidR="002D0E99" w:rsidRDefault="000D329E">
      <w:pPr>
        <w:spacing w:after="200" w:line="276" w:lineRule="auto"/>
        <w:jc w:val="both"/>
      </w:pPr>
      <w:r>
        <w:t xml:space="preserve">Fee savings from Taproot adoption are substantial. A typical single-signature P2TR spend requires approximately 68 vbytes compared to 104 vbytes for P2PKH or 68 </w:t>
      </w:r>
      <w:r>
        <w:t>vbytes for P2WPKH, with script-path spends achieving even greater savings compared to equivalent pre-Taproot constructions. Estimates suggest 30-40% fee reduction for complex transactions utilizing MAST structures.</w:t>
      </w:r>
    </w:p>
    <w:p w14:paraId="12244E41" w14:textId="77777777" w:rsidR="002D0E99" w:rsidRDefault="000D329E">
      <w:pPr>
        <w:spacing w:after="200" w:line="276" w:lineRule="auto"/>
        <w:jc w:val="both"/>
      </w:pPr>
      <w:r>
        <w:t>Lightning Network implementations have be</w:t>
      </w:r>
      <w:r>
        <w:t>gun migrating to Taproot channels, which appear as ordinary transactions on-chain when cooperatively closed. This migration improves privacy by eliminating the distinctive patterns that previously allowed identification of Lightning channel opens and close</w:t>
      </w:r>
      <w:r>
        <w:t>s, strengthening the confidentiality properties of the layer-2 network.</w:t>
      </w:r>
    </w:p>
    <w:p w14:paraId="15DAD5A1" w14:textId="77777777" w:rsidR="002D0E99" w:rsidRDefault="000D329E">
      <w:r>
        <w:br w:type="page"/>
      </w:r>
    </w:p>
    <w:p w14:paraId="074235F1" w14:textId="77777777" w:rsidR="002D0E99" w:rsidRDefault="000D329E">
      <w:pPr>
        <w:pStyle w:val="Heading1"/>
      </w:pPr>
      <w:bookmarkStart w:id="41" w:name="_Toc215817686"/>
      <w:r>
        <w:lastRenderedPageBreak/>
        <w:t>7. Hardware Wallet Security Architecture</w:t>
      </w:r>
      <w:bookmarkEnd w:id="41"/>
    </w:p>
    <w:p w14:paraId="121C17B9" w14:textId="77777777" w:rsidR="002D0E99" w:rsidRDefault="000D329E">
      <w:pPr>
        <w:pStyle w:val="Heading2"/>
      </w:pPr>
      <w:bookmarkStart w:id="42" w:name="_Toc215817687"/>
      <w:r>
        <w:t>7.1 Security Rationale and Threat Model</w:t>
      </w:r>
      <w:bookmarkEnd w:id="42"/>
    </w:p>
    <w:p w14:paraId="5AC6DE62" w14:textId="77777777" w:rsidR="002D0E99" w:rsidRDefault="000D329E">
      <w:pPr>
        <w:spacing w:after="200" w:line="276" w:lineRule="auto"/>
        <w:jc w:val="both"/>
      </w:pPr>
      <w:r>
        <w:t>Hardware wallets address the fundamental vulnerability of software wallet deployments: exposure to ma</w:t>
      </w:r>
      <w:r>
        <w:t>lware, keyloggers, and operating system compromises. By isolating private keys within dedicated secure hardware, these devices ensure that keys never exist in a form accessible to potentially compromised host computers. The security model assumes that even</w:t>
      </w:r>
      <w:r>
        <w:t xml:space="preserve"> if the connected computer is fully controlled by an adversary, the hardware wallet will not reveal private keys or sign unauthorized transactions.</w:t>
      </w:r>
    </w:p>
    <w:p w14:paraId="1A4E4F10" w14:textId="77777777" w:rsidR="002D0E99" w:rsidRDefault="000D329E">
      <w:pPr>
        <w:spacing w:after="200" w:line="276" w:lineRule="auto"/>
        <w:jc w:val="both"/>
      </w:pPr>
      <w:r>
        <w:t>The threat model for hardware wallets encompasses remote attacks (malware attempting to extract keys or mani</w:t>
      </w:r>
      <w:r>
        <w:t>pulate transactions), physical attacks (attempts to extract secrets from captured devices), and supply chain attacks (compromised devices delivered to end users). Defense against these varied threats requires layered security measures spanning hardware des</w:t>
      </w:r>
      <w:r>
        <w:t>ign, firmware implementation, and operational procedures.</w:t>
      </w:r>
    </w:p>
    <w:p w14:paraId="493BDD26" w14:textId="77777777" w:rsidR="002D0E99" w:rsidRDefault="000D329E">
      <w:pPr>
        <w:pStyle w:val="Heading2"/>
      </w:pPr>
      <w:bookmarkStart w:id="43" w:name="_Toc215817688"/>
      <w:r>
        <w:t>7.2 Common Criteria Evaluation Assurance Levels</w:t>
      </w:r>
      <w:bookmarkEnd w:id="43"/>
    </w:p>
    <w:p w14:paraId="189FC776" w14:textId="77777777" w:rsidR="002D0E99" w:rsidRDefault="000D329E">
      <w:pPr>
        <w:spacing w:after="200" w:line="276" w:lineRule="auto"/>
        <w:jc w:val="both"/>
      </w:pPr>
      <w:r>
        <w:t>The Common Criteria for Information Technology Security Evaluation (ISO/IEC 15408) provides an international framework for assessing product security.</w:t>
      </w:r>
      <w:r>
        <w:t xml:space="preserve"> Evaluation Assurance Levels (EAL1-7) indicate the rigor of security testing, with higher levels requiring increasingly comprehensive analysis and verification.</w:t>
      </w:r>
    </w:p>
    <w:p w14:paraId="44B3A660" w14:textId="77777777" w:rsidR="002D0E99" w:rsidRDefault="000D329E">
      <w:pPr>
        <w:pStyle w:val="Heading3"/>
      </w:pPr>
      <w:bookmarkStart w:id="44" w:name="_Toc215817689"/>
      <w:r>
        <w:t>7.2.1 EAL5+ Certified Devices</w:t>
      </w:r>
      <w:bookmarkEnd w:id="44"/>
    </w:p>
    <w:p w14:paraId="3B0286AB" w14:textId="77777777" w:rsidR="002D0E99" w:rsidRDefault="000D329E">
      <w:pPr>
        <w:spacing w:after="200" w:line="276" w:lineRule="auto"/>
        <w:jc w:val="both"/>
      </w:pPr>
      <w:r>
        <w:t>EAL5+ certification requires semiformally verified design and rig</w:t>
      </w:r>
      <w:r>
        <w:t>orous testing, representing the minimum acceptable level for payment card and banking secure elements. The Ledger Nano X and Nano S employ the ST33K1M5 secure element achieving EAL5+ certification, providing defense against known attack classes including d</w:t>
      </w:r>
      <w:r>
        <w:t>ifferential power analysis and fault injection.</w:t>
      </w:r>
    </w:p>
    <w:p w14:paraId="6AF52722" w14:textId="77777777" w:rsidR="002D0E99" w:rsidRDefault="000D329E">
      <w:pPr>
        <w:spacing w:after="200" w:line="276" w:lineRule="auto"/>
        <w:jc w:val="both"/>
      </w:pPr>
      <w:r>
        <w:t xml:space="preserve">The EAL5+ certification process involves detailed vulnerability analysis, penetration testing by accredited laboratories, and verification that security functions operate as specified. While falling short of </w:t>
      </w:r>
      <w:r>
        <w:t>formal mathematical verification, this level provides substantial assurance for consumer-grade security products.</w:t>
      </w:r>
    </w:p>
    <w:p w14:paraId="59EB3B76" w14:textId="77777777" w:rsidR="002D0E99" w:rsidRDefault="000D329E">
      <w:pPr>
        <w:pStyle w:val="Heading3"/>
      </w:pPr>
      <w:bookmarkStart w:id="45" w:name="_Toc215817690"/>
      <w:r>
        <w:t>7.2.2 EAL6+ Certified Devices</w:t>
      </w:r>
      <w:bookmarkEnd w:id="45"/>
    </w:p>
    <w:p w14:paraId="3054FE4D" w14:textId="77777777" w:rsidR="002D0E99" w:rsidRDefault="000D329E">
      <w:pPr>
        <w:spacing w:after="200" w:line="276" w:lineRule="auto"/>
        <w:jc w:val="both"/>
      </w:pPr>
      <w:r>
        <w:t xml:space="preserve">EAL6+ certification adds enhanced penetration testing requirements and semiformal verification of the low-level </w:t>
      </w:r>
      <w:r>
        <w:t>design, approaching the highest commercially practical security evaluation. CoolWallet Pro, Trezor Safe 3 and Safe 5 (using Infineon Optiga chips), and OneKey Pro achieve this certification level.</w:t>
      </w:r>
    </w:p>
    <w:p w14:paraId="47ACA10C" w14:textId="77777777" w:rsidR="002D0E99" w:rsidRDefault="000D329E">
      <w:pPr>
        <w:spacing w:after="200" w:line="276" w:lineRule="auto"/>
        <w:jc w:val="both"/>
      </w:pPr>
      <w:r>
        <w:t>The Trezor Safe 5, released in 2024, exemplifies modern EAL</w:t>
      </w:r>
      <w:r>
        <w:t xml:space="preserve">6+ design with its Infineon Optiga Trust M V3 secure element combined with the STM32U585 processor. This dual-chip </w:t>
      </w:r>
      <w:r>
        <w:lastRenderedPageBreak/>
        <w:t>architecture separates cryptographic operations from user interface handling, limiting the attack surface accessible to each component.</w:t>
      </w:r>
    </w:p>
    <w:p w14:paraId="44AB115E" w14:textId="77777777" w:rsidR="002D0E99" w:rsidRDefault="000D329E">
      <w:pPr>
        <w:pStyle w:val="Heading3"/>
      </w:pPr>
      <w:bookmarkStart w:id="46" w:name="_Toc215817691"/>
      <w:r>
        <w:t>7.2.3</w:t>
      </w:r>
      <w:r>
        <w:t xml:space="preserve"> EAL7 Certification</w:t>
      </w:r>
      <w:bookmarkEnd w:id="46"/>
    </w:p>
    <w:p w14:paraId="71C60BFA" w14:textId="77777777" w:rsidR="002D0E99" w:rsidRDefault="000D329E">
      <w:pPr>
        <w:spacing w:after="200" w:line="276" w:lineRule="auto"/>
        <w:jc w:val="both"/>
      </w:pPr>
      <w:r>
        <w:t>EAL7 represents the highest evaluation assurance level, requiring formally verified design and implementation with mathematical proofs of security properties. Originally developed for military and aerospace applications, EAL7 certificat</w:t>
      </w:r>
      <w:r>
        <w:t>ion has historically been unavailable for commercial cryptocurrency hardware.</w:t>
      </w:r>
    </w:p>
    <w:p w14:paraId="55C664F0" w14:textId="77777777" w:rsidR="002D0E99" w:rsidRDefault="000D329E">
      <w:pPr>
        <w:spacing w:after="200" w:line="276" w:lineRule="auto"/>
        <w:jc w:val="both"/>
      </w:pPr>
      <w:r>
        <w:t>NGRAVE ZERO achieved the first cryptocurrency hardware wallet EAL7 certification through its custom CL7 secure element. The certification process required formal specification of</w:t>
      </w:r>
      <w:r>
        <w:t xml:space="preserve"> security policies, mathematical proof that the design satisfies those policies, and extensive penetration testing against state-level adversaries. This certification positions NGRAVE ZERO as the highest-security consumer hardware wallet currently availabl</w:t>
      </w:r>
      <w:r>
        <w:t>e.</w:t>
      </w:r>
    </w:p>
    <w:p w14:paraId="371B336A" w14:textId="77777777" w:rsidR="002D0E99" w:rsidRDefault="000D329E">
      <w:pPr>
        <w:pStyle w:val="Heading2"/>
      </w:pPr>
      <w:bookmarkStart w:id="47" w:name="_Toc215817692"/>
      <w:r>
        <w:t>7.3 Secure Element Architectures</w:t>
      </w:r>
      <w:bookmarkEnd w:id="47"/>
    </w:p>
    <w:p w14:paraId="29903663" w14:textId="77777777" w:rsidR="002D0E99" w:rsidRDefault="000D329E">
      <w:pPr>
        <w:spacing w:after="200" w:line="276" w:lineRule="auto"/>
        <w:jc w:val="both"/>
      </w:pPr>
      <w:r>
        <w:t>Secure elements are specialized integrated circuits designed to resist physical and side-channel attacks. These chips implement cryptographic operations in hardened environments with active tamper detection, environmenta</w:t>
      </w:r>
      <w:r>
        <w:t>l sensors, and hardware countermeasures against differential power analysis (DPA) and electromagnetic analysis (EMA).</w:t>
      </w:r>
    </w:p>
    <w:p w14:paraId="1C833561" w14:textId="77777777" w:rsidR="002D0E99" w:rsidRDefault="000D329E">
      <w:pPr>
        <w:spacing w:after="200" w:line="276" w:lineRule="auto"/>
        <w:jc w:val="both"/>
      </w:pPr>
      <w:r>
        <w:t>Leading secure element manufacturers serving the cryptocurrency market include STMicroelectronics (ST33 series used by Ledger), Infineon (</w:t>
      </w:r>
      <w:r>
        <w:t>Optiga series used by Trezor), and Microchip (ATECC608 series used by various manufacturers). Each product line offers different trade-offs between security certification level, performance, cost, and feature set.</w:t>
      </w:r>
    </w:p>
    <w:p w14:paraId="70A393AA" w14:textId="77777777" w:rsidR="002D0E99" w:rsidRDefault="000D329E">
      <w:pPr>
        <w:spacing w:after="200" w:line="276" w:lineRule="auto"/>
        <w:jc w:val="both"/>
      </w:pPr>
      <w:r>
        <w:t>The Keystone 3 hardware wallet demonstrate</w:t>
      </w:r>
      <w:r>
        <w:t>s an advanced multi-element approach, incorporating three separate secure elements: ATECC608B for secure boot and device authentication, DS28S60 for key storage with physical tamper detection, and MAX32520 for cryptographic operations. This redundant archi</w:t>
      </w:r>
      <w:r>
        <w:t>tecture provides defense-in-depth against single points of failure in the security chain.</w:t>
      </w:r>
    </w:p>
    <w:p w14:paraId="4E64E142" w14:textId="77777777" w:rsidR="002D0E99" w:rsidRDefault="000D329E">
      <w:pPr>
        <w:pStyle w:val="Heading2"/>
      </w:pPr>
      <w:bookmarkStart w:id="48" w:name="_Toc215817693"/>
      <w:r>
        <w:t>7.4 Air-Gapped Operations</w:t>
      </w:r>
      <w:bookmarkEnd w:id="48"/>
    </w:p>
    <w:p w14:paraId="0F228E9A" w14:textId="77777777" w:rsidR="002D0E99" w:rsidRDefault="000D329E">
      <w:pPr>
        <w:spacing w:after="200" w:line="276" w:lineRule="auto"/>
        <w:jc w:val="both"/>
      </w:pPr>
      <w:r>
        <w:t>Air-gapped hardware wallets eliminate all wired data connections, communicating with host computers exclusively through QR codes or other op</w:t>
      </w:r>
      <w:r>
        <w:t>tically-verified channels. This design prevents attacks that exploit USB protocol vulnerabilities, malicious charging cables, or compromised computer peripherals.</w:t>
      </w:r>
    </w:p>
    <w:p w14:paraId="3BC55375" w14:textId="77777777" w:rsidR="002D0E99" w:rsidRDefault="000D329E">
      <w:pPr>
        <w:spacing w:after="200" w:line="276" w:lineRule="auto"/>
        <w:jc w:val="both"/>
      </w:pPr>
      <w:r>
        <w:t>The QR code communication model requires transactions to be encoded in machine-readable forma</w:t>
      </w:r>
      <w:r>
        <w:t>t, scanned by the hardware wallet's camera, signed offline, and displayed as a response QR code for the host computer to scan. While adding operational complexity compared to USB-connected devices, this approach eliminates entire classes of remote attack v</w:t>
      </w:r>
      <w:r>
        <w:t>ectors.</w:t>
      </w:r>
    </w:p>
    <w:p w14:paraId="1C1F7B1C" w14:textId="77777777" w:rsidR="002D0E99" w:rsidRDefault="000D329E">
      <w:pPr>
        <w:spacing w:after="200" w:line="276" w:lineRule="auto"/>
        <w:jc w:val="both"/>
      </w:pPr>
      <w:r>
        <w:lastRenderedPageBreak/>
        <w:t>Notable air-gapped implementations include NGRAVE ZERO, Keystone (formerly Cobo Vault), and AirGap Vault. These devices typically feature larger screens and cameras than USB-connected alternatives, accommodating the QR code workflow while maintaining usabi</w:t>
      </w:r>
      <w:r>
        <w:t>lity for complex multi-step signing procedures.</w:t>
      </w:r>
    </w:p>
    <w:p w14:paraId="7EC29F36" w14:textId="77777777" w:rsidR="002D0E99" w:rsidRDefault="000D329E">
      <w:pPr>
        <w:pStyle w:val="Heading2"/>
      </w:pPr>
      <w:bookmarkStart w:id="49" w:name="_Toc215817694"/>
      <w:r>
        <w:t>7.5 Post-Quantum Considerations</w:t>
      </w:r>
      <w:bookmarkEnd w:id="49"/>
    </w:p>
    <w:p w14:paraId="0B62C3BF" w14:textId="77777777" w:rsidR="002D0E99" w:rsidRDefault="000D329E">
      <w:pPr>
        <w:spacing w:after="200" w:line="276" w:lineRule="auto"/>
        <w:jc w:val="both"/>
      </w:pPr>
      <w:r>
        <w:t>The Trezor Safe 7, announced in 2025, introduces the first commercial hardware wallet implementation of post-quantum cryptographic algorithms. The device incorporates NIST-stan</w:t>
      </w:r>
      <w:r>
        <w:t>dardized SLH-DSA-128 (Stateless Hash-Based Digital Signature Algorithm) alongside traditional elliptic curve cryptography, enabling quantum-resistant backup seed protection.</w:t>
      </w:r>
    </w:p>
    <w:p w14:paraId="66FC23DE" w14:textId="77777777" w:rsidR="002D0E99" w:rsidRDefault="000D329E">
      <w:pPr>
        <w:spacing w:after="200" w:line="276" w:lineRule="auto"/>
        <w:jc w:val="both"/>
      </w:pPr>
      <w:r>
        <w:t>The dual-chip architecture of Trezor Safe 7 combines the custom TROPIC01 chip with</w:t>
      </w:r>
      <w:r>
        <w:t xml:space="preserve"> an EAL6+ certified secure element, segregating post-quantum operations from legacy cryptographic functions. This design enables gradual migration to quantum-resistant algorithms while maintaining compatibility with current blockchain protocols that have n</w:t>
      </w:r>
      <w:r>
        <w:t>ot yet adopted post-quantum signatures.</w:t>
      </w:r>
    </w:p>
    <w:p w14:paraId="71F8DF4D" w14:textId="77777777" w:rsidR="002D0E99" w:rsidRDefault="000D329E">
      <w:pPr>
        <w:spacing w:before="300" w:after="200"/>
      </w:pPr>
      <w:r>
        <w:rPr>
          <w:rFonts w:ascii="Arial" w:eastAsia="Arial" w:hAnsi="Arial" w:cs="Arial"/>
          <w:b/>
          <w:bCs/>
          <w:sz w:val="22"/>
          <w:szCs w:val="22"/>
        </w:rPr>
        <w:t>Table 2: Hardware Wallet Security Certification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000"/>
        <w:gridCol w:w="1522"/>
        <w:gridCol w:w="951"/>
        <w:gridCol w:w="400"/>
      </w:tblGrid>
      <w:tr w:rsidR="002D0E99" w14:paraId="0611ED43"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739B7D23" w14:textId="77777777" w:rsidR="002D0E99" w:rsidRDefault="000D329E">
            <w:pPr>
              <w:jc w:val="center"/>
            </w:pPr>
            <w:r>
              <w:rPr>
                <w:b/>
                <w:bCs/>
                <w:sz w:val="18"/>
                <w:szCs w:val="18"/>
              </w:rPr>
              <w:t>Device</w:t>
            </w:r>
          </w:p>
        </w:tc>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2F1CA4C6" w14:textId="77777777" w:rsidR="002D0E99" w:rsidRDefault="000D329E">
            <w:pPr>
              <w:jc w:val="center"/>
            </w:pPr>
            <w:r>
              <w:rPr>
                <w:b/>
                <w:bCs/>
                <w:sz w:val="18"/>
                <w:szCs w:val="18"/>
              </w:rPr>
              <w:t>Certification</w:t>
            </w:r>
          </w:p>
        </w:tc>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78E9F98C" w14:textId="77777777" w:rsidR="002D0E99" w:rsidRDefault="000D329E">
            <w:pPr>
              <w:jc w:val="center"/>
            </w:pPr>
            <w:r>
              <w:rPr>
                <w:b/>
                <w:bCs/>
                <w:sz w:val="18"/>
                <w:szCs w:val="18"/>
              </w:rPr>
              <w:t>Secure Element</w:t>
            </w:r>
          </w:p>
        </w:tc>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431763D9" w14:textId="77777777" w:rsidR="002D0E99" w:rsidRDefault="000D329E">
            <w:pPr>
              <w:jc w:val="center"/>
            </w:pPr>
            <w:r>
              <w:rPr>
                <w:b/>
                <w:bCs/>
                <w:sz w:val="18"/>
                <w:szCs w:val="18"/>
              </w:rPr>
              <w:t>Air-Gapped</w:t>
            </w:r>
          </w:p>
        </w:tc>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735E5C90" w14:textId="77777777" w:rsidR="002D0E99" w:rsidRDefault="000D329E">
            <w:pPr>
              <w:jc w:val="center"/>
            </w:pPr>
            <w:r>
              <w:rPr>
                <w:b/>
                <w:bCs/>
                <w:sz w:val="18"/>
                <w:szCs w:val="18"/>
              </w:rPr>
              <w:t>PQC</w:t>
            </w:r>
          </w:p>
        </w:tc>
      </w:tr>
      <w:tr w:rsidR="002D0E99" w14:paraId="602493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8C7DB02" w14:textId="77777777" w:rsidR="002D0E99" w:rsidRDefault="000D329E">
            <w:r>
              <w:rPr>
                <w:sz w:val="18"/>
                <w:szCs w:val="18"/>
              </w:rPr>
              <w:t>Ledger Nano X</w:t>
            </w:r>
          </w:p>
        </w:tc>
        <w:tc>
          <w:tcPr>
            <w:tcW w:w="0" w:type="auto"/>
            <w:tcBorders>
              <w:top w:val="single" w:sz="1" w:space="0" w:color="CCCCCC"/>
              <w:left w:val="single" w:sz="1" w:space="0" w:color="CCCCCC"/>
              <w:bottom w:val="single" w:sz="1" w:space="0" w:color="CCCCCC"/>
              <w:right w:val="single" w:sz="1" w:space="0" w:color="CCCCCC"/>
            </w:tcBorders>
          </w:tcPr>
          <w:p w14:paraId="2629DA5B" w14:textId="77777777" w:rsidR="002D0E99" w:rsidRDefault="000D329E">
            <w:pPr>
              <w:jc w:val="center"/>
            </w:pPr>
            <w:r>
              <w:rPr>
                <w:sz w:val="18"/>
                <w:szCs w:val="18"/>
              </w:rPr>
              <w:t>EAL5+</w:t>
            </w:r>
          </w:p>
        </w:tc>
        <w:tc>
          <w:tcPr>
            <w:tcW w:w="0" w:type="auto"/>
            <w:tcBorders>
              <w:top w:val="single" w:sz="1" w:space="0" w:color="CCCCCC"/>
              <w:left w:val="single" w:sz="1" w:space="0" w:color="CCCCCC"/>
              <w:bottom w:val="single" w:sz="1" w:space="0" w:color="CCCCCC"/>
              <w:right w:val="single" w:sz="1" w:space="0" w:color="CCCCCC"/>
            </w:tcBorders>
          </w:tcPr>
          <w:p w14:paraId="2EAAAE00" w14:textId="77777777" w:rsidR="002D0E99" w:rsidRDefault="000D329E">
            <w:r>
              <w:rPr>
                <w:sz w:val="18"/>
                <w:szCs w:val="18"/>
              </w:rPr>
              <w:t>ST33K1M5</w:t>
            </w:r>
          </w:p>
        </w:tc>
        <w:tc>
          <w:tcPr>
            <w:tcW w:w="0" w:type="auto"/>
            <w:tcBorders>
              <w:top w:val="single" w:sz="1" w:space="0" w:color="CCCCCC"/>
              <w:left w:val="single" w:sz="1" w:space="0" w:color="CCCCCC"/>
              <w:bottom w:val="single" w:sz="1" w:space="0" w:color="CCCCCC"/>
              <w:right w:val="single" w:sz="1" w:space="0" w:color="CCCCCC"/>
            </w:tcBorders>
          </w:tcPr>
          <w:p w14:paraId="64E200C7" w14:textId="77777777" w:rsidR="002D0E99" w:rsidRDefault="000D329E">
            <w:pPr>
              <w:jc w:val="center"/>
            </w:pPr>
            <w:r>
              <w:rPr>
                <w:sz w:val="18"/>
                <w:szCs w:val="18"/>
              </w:rPr>
              <w:t>No</w:t>
            </w:r>
          </w:p>
        </w:tc>
        <w:tc>
          <w:tcPr>
            <w:tcW w:w="0" w:type="auto"/>
            <w:tcBorders>
              <w:top w:val="single" w:sz="1" w:space="0" w:color="CCCCCC"/>
              <w:left w:val="single" w:sz="1" w:space="0" w:color="CCCCCC"/>
              <w:bottom w:val="single" w:sz="1" w:space="0" w:color="CCCCCC"/>
              <w:right w:val="single" w:sz="1" w:space="0" w:color="CCCCCC"/>
            </w:tcBorders>
          </w:tcPr>
          <w:p w14:paraId="4D44B6C5" w14:textId="77777777" w:rsidR="002D0E99" w:rsidRDefault="000D329E">
            <w:pPr>
              <w:jc w:val="center"/>
            </w:pPr>
            <w:r>
              <w:rPr>
                <w:sz w:val="18"/>
                <w:szCs w:val="18"/>
              </w:rPr>
              <w:t>No</w:t>
            </w:r>
          </w:p>
        </w:tc>
      </w:tr>
      <w:tr w:rsidR="002D0E99" w14:paraId="0DFB55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6418A0A" w14:textId="77777777" w:rsidR="002D0E99" w:rsidRDefault="000D329E">
            <w:r>
              <w:rPr>
                <w:sz w:val="18"/>
                <w:szCs w:val="18"/>
              </w:rPr>
              <w:t>Trezor Safe 5</w:t>
            </w:r>
          </w:p>
        </w:tc>
        <w:tc>
          <w:tcPr>
            <w:tcW w:w="0" w:type="auto"/>
            <w:tcBorders>
              <w:top w:val="single" w:sz="1" w:space="0" w:color="CCCCCC"/>
              <w:left w:val="single" w:sz="1" w:space="0" w:color="CCCCCC"/>
              <w:bottom w:val="single" w:sz="1" w:space="0" w:color="CCCCCC"/>
              <w:right w:val="single" w:sz="1" w:space="0" w:color="CCCCCC"/>
            </w:tcBorders>
          </w:tcPr>
          <w:p w14:paraId="4B59A50F" w14:textId="77777777" w:rsidR="002D0E99" w:rsidRDefault="000D329E">
            <w:pPr>
              <w:jc w:val="center"/>
            </w:pPr>
            <w:r>
              <w:rPr>
                <w:sz w:val="18"/>
                <w:szCs w:val="18"/>
              </w:rPr>
              <w:t>EAL6+</w:t>
            </w:r>
          </w:p>
        </w:tc>
        <w:tc>
          <w:tcPr>
            <w:tcW w:w="0" w:type="auto"/>
            <w:tcBorders>
              <w:top w:val="single" w:sz="1" w:space="0" w:color="CCCCCC"/>
              <w:left w:val="single" w:sz="1" w:space="0" w:color="CCCCCC"/>
              <w:bottom w:val="single" w:sz="1" w:space="0" w:color="CCCCCC"/>
              <w:right w:val="single" w:sz="1" w:space="0" w:color="CCCCCC"/>
            </w:tcBorders>
          </w:tcPr>
          <w:p w14:paraId="491DFB01" w14:textId="77777777" w:rsidR="002D0E99" w:rsidRDefault="000D329E">
            <w:r>
              <w:rPr>
                <w:sz w:val="18"/>
                <w:szCs w:val="18"/>
              </w:rPr>
              <w:t>Infineon Optiga</w:t>
            </w:r>
          </w:p>
        </w:tc>
        <w:tc>
          <w:tcPr>
            <w:tcW w:w="0" w:type="auto"/>
            <w:tcBorders>
              <w:top w:val="single" w:sz="1" w:space="0" w:color="CCCCCC"/>
              <w:left w:val="single" w:sz="1" w:space="0" w:color="CCCCCC"/>
              <w:bottom w:val="single" w:sz="1" w:space="0" w:color="CCCCCC"/>
              <w:right w:val="single" w:sz="1" w:space="0" w:color="CCCCCC"/>
            </w:tcBorders>
          </w:tcPr>
          <w:p w14:paraId="1E3324F1" w14:textId="77777777" w:rsidR="002D0E99" w:rsidRDefault="000D329E">
            <w:pPr>
              <w:jc w:val="center"/>
            </w:pPr>
            <w:r>
              <w:rPr>
                <w:sz w:val="18"/>
                <w:szCs w:val="18"/>
              </w:rPr>
              <w:t>No</w:t>
            </w:r>
          </w:p>
        </w:tc>
        <w:tc>
          <w:tcPr>
            <w:tcW w:w="0" w:type="auto"/>
            <w:tcBorders>
              <w:top w:val="single" w:sz="1" w:space="0" w:color="CCCCCC"/>
              <w:left w:val="single" w:sz="1" w:space="0" w:color="CCCCCC"/>
              <w:bottom w:val="single" w:sz="1" w:space="0" w:color="CCCCCC"/>
              <w:right w:val="single" w:sz="1" w:space="0" w:color="CCCCCC"/>
            </w:tcBorders>
          </w:tcPr>
          <w:p w14:paraId="2B1CE148" w14:textId="77777777" w:rsidR="002D0E99" w:rsidRDefault="000D329E">
            <w:pPr>
              <w:jc w:val="center"/>
            </w:pPr>
            <w:r>
              <w:rPr>
                <w:sz w:val="18"/>
                <w:szCs w:val="18"/>
              </w:rPr>
              <w:t>No</w:t>
            </w:r>
          </w:p>
        </w:tc>
      </w:tr>
      <w:tr w:rsidR="002D0E99" w14:paraId="4E0AB9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E12DBD5" w14:textId="77777777" w:rsidR="002D0E99" w:rsidRDefault="000D329E">
            <w:r>
              <w:rPr>
                <w:sz w:val="18"/>
                <w:szCs w:val="18"/>
              </w:rPr>
              <w:t>Trezor Safe 7</w:t>
            </w:r>
          </w:p>
        </w:tc>
        <w:tc>
          <w:tcPr>
            <w:tcW w:w="0" w:type="auto"/>
            <w:tcBorders>
              <w:top w:val="single" w:sz="1" w:space="0" w:color="CCCCCC"/>
              <w:left w:val="single" w:sz="1" w:space="0" w:color="CCCCCC"/>
              <w:bottom w:val="single" w:sz="1" w:space="0" w:color="CCCCCC"/>
              <w:right w:val="single" w:sz="1" w:space="0" w:color="CCCCCC"/>
            </w:tcBorders>
          </w:tcPr>
          <w:p w14:paraId="34888299" w14:textId="77777777" w:rsidR="002D0E99" w:rsidRDefault="000D329E">
            <w:pPr>
              <w:jc w:val="center"/>
            </w:pPr>
            <w:r>
              <w:rPr>
                <w:sz w:val="18"/>
                <w:szCs w:val="18"/>
              </w:rPr>
              <w:t>EAL6+</w:t>
            </w:r>
          </w:p>
        </w:tc>
        <w:tc>
          <w:tcPr>
            <w:tcW w:w="0" w:type="auto"/>
            <w:tcBorders>
              <w:top w:val="single" w:sz="1" w:space="0" w:color="CCCCCC"/>
              <w:left w:val="single" w:sz="1" w:space="0" w:color="CCCCCC"/>
              <w:bottom w:val="single" w:sz="1" w:space="0" w:color="CCCCCC"/>
              <w:right w:val="single" w:sz="1" w:space="0" w:color="CCCCCC"/>
            </w:tcBorders>
          </w:tcPr>
          <w:p w14:paraId="74070A1C" w14:textId="77777777" w:rsidR="002D0E99" w:rsidRDefault="000D329E">
            <w:r>
              <w:rPr>
                <w:sz w:val="18"/>
                <w:szCs w:val="18"/>
              </w:rPr>
              <w:t>TROPIC01 + Optiga</w:t>
            </w:r>
          </w:p>
        </w:tc>
        <w:tc>
          <w:tcPr>
            <w:tcW w:w="0" w:type="auto"/>
            <w:tcBorders>
              <w:top w:val="single" w:sz="1" w:space="0" w:color="CCCCCC"/>
              <w:left w:val="single" w:sz="1" w:space="0" w:color="CCCCCC"/>
              <w:bottom w:val="single" w:sz="1" w:space="0" w:color="CCCCCC"/>
              <w:right w:val="single" w:sz="1" w:space="0" w:color="CCCCCC"/>
            </w:tcBorders>
          </w:tcPr>
          <w:p w14:paraId="4D1BCEE7" w14:textId="77777777" w:rsidR="002D0E99" w:rsidRDefault="000D329E">
            <w:pPr>
              <w:jc w:val="center"/>
            </w:pPr>
            <w:r>
              <w:rPr>
                <w:sz w:val="18"/>
                <w:szCs w:val="18"/>
              </w:rPr>
              <w:t>No</w:t>
            </w:r>
          </w:p>
        </w:tc>
        <w:tc>
          <w:tcPr>
            <w:tcW w:w="0" w:type="auto"/>
            <w:tcBorders>
              <w:top w:val="single" w:sz="1" w:space="0" w:color="CCCCCC"/>
              <w:left w:val="single" w:sz="1" w:space="0" w:color="CCCCCC"/>
              <w:bottom w:val="single" w:sz="1" w:space="0" w:color="CCCCCC"/>
              <w:right w:val="single" w:sz="1" w:space="0" w:color="CCCCCC"/>
            </w:tcBorders>
          </w:tcPr>
          <w:p w14:paraId="3EDD6223" w14:textId="77777777" w:rsidR="002D0E99" w:rsidRDefault="000D329E">
            <w:pPr>
              <w:jc w:val="center"/>
            </w:pPr>
            <w:r>
              <w:rPr>
                <w:sz w:val="18"/>
                <w:szCs w:val="18"/>
              </w:rPr>
              <w:t>Yes</w:t>
            </w:r>
          </w:p>
        </w:tc>
      </w:tr>
      <w:tr w:rsidR="002D0E99" w14:paraId="00BE27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C8D5675" w14:textId="77777777" w:rsidR="002D0E99" w:rsidRDefault="000D329E">
            <w:r>
              <w:rPr>
                <w:sz w:val="18"/>
                <w:szCs w:val="18"/>
              </w:rPr>
              <w:t>NGRAVE ZERO</w:t>
            </w:r>
          </w:p>
        </w:tc>
        <w:tc>
          <w:tcPr>
            <w:tcW w:w="0" w:type="auto"/>
            <w:tcBorders>
              <w:top w:val="single" w:sz="1" w:space="0" w:color="CCCCCC"/>
              <w:left w:val="single" w:sz="1" w:space="0" w:color="CCCCCC"/>
              <w:bottom w:val="single" w:sz="1" w:space="0" w:color="CCCCCC"/>
              <w:right w:val="single" w:sz="1" w:space="0" w:color="CCCCCC"/>
            </w:tcBorders>
          </w:tcPr>
          <w:p w14:paraId="253A878B" w14:textId="77777777" w:rsidR="002D0E99" w:rsidRDefault="000D329E">
            <w:pPr>
              <w:jc w:val="center"/>
            </w:pPr>
            <w:r>
              <w:rPr>
                <w:sz w:val="18"/>
                <w:szCs w:val="18"/>
              </w:rPr>
              <w:t>EAL7</w:t>
            </w:r>
          </w:p>
        </w:tc>
        <w:tc>
          <w:tcPr>
            <w:tcW w:w="0" w:type="auto"/>
            <w:tcBorders>
              <w:top w:val="single" w:sz="1" w:space="0" w:color="CCCCCC"/>
              <w:left w:val="single" w:sz="1" w:space="0" w:color="CCCCCC"/>
              <w:bottom w:val="single" w:sz="1" w:space="0" w:color="CCCCCC"/>
              <w:right w:val="single" w:sz="1" w:space="0" w:color="CCCCCC"/>
            </w:tcBorders>
          </w:tcPr>
          <w:p w14:paraId="516EAC72" w14:textId="77777777" w:rsidR="002D0E99" w:rsidRDefault="000D329E">
            <w:r>
              <w:rPr>
                <w:sz w:val="18"/>
                <w:szCs w:val="18"/>
              </w:rPr>
              <w:t>Custom CL7</w:t>
            </w:r>
          </w:p>
        </w:tc>
        <w:tc>
          <w:tcPr>
            <w:tcW w:w="0" w:type="auto"/>
            <w:tcBorders>
              <w:top w:val="single" w:sz="1" w:space="0" w:color="CCCCCC"/>
              <w:left w:val="single" w:sz="1" w:space="0" w:color="CCCCCC"/>
              <w:bottom w:val="single" w:sz="1" w:space="0" w:color="CCCCCC"/>
              <w:right w:val="single" w:sz="1" w:space="0" w:color="CCCCCC"/>
            </w:tcBorders>
          </w:tcPr>
          <w:p w14:paraId="1DDA8029" w14:textId="77777777" w:rsidR="002D0E99" w:rsidRDefault="000D329E">
            <w:pPr>
              <w:jc w:val="center"/>
            </w:pPr>
            <w:r>
              <w:rPr>
                <w:sz w:val="18"/>
                <w:szCs w:val="18"/>
              </w:rPr>
              <w:t>Yes</w:t>
            </w:r>
          </w:p>
        </w:tc>
        <w:tc>
          <w:tcPr>
            <w:tcW w:w="0" w:type="auto"/>
            <w:tcBorders>
              <w:top w:val="single" w:sz="1" w:space="0" w:color="CCCCCC"/>
              <w:left w:val="single" w:sz="1" w:space="0" w:color="CCCCCC"/>
              <w:bottom w:val="single" w:sz="1" w:space="0" w:color="CCCCCC"/>
              <w:right w:val="single" w:sz="1" w:space="0" w:color="CCCCCC"/>
            </w:tcBorders>
          </w:tcPr>
          <w:p w14:paraId="62736A34" w14:textId="77777777" w:rsidR="002D0E99" w:rsidRDefault="000D329E">
            <w:pPr>
              <w:jc w:val="center"/>
            </w:pPr>
            <w:r>
              <w:rPr>
                <w:sz w:val="18"/>
                <w:szCs w:val="18"/>
              </w:rPr>
              <w:t>No</w:t>
            </w:r>
          </w:p>
        </w:tc>
      </w:tr>
      <w:tr w:rsidR="002D0E99" w14:paraId="2623CD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9FA8472" w14:textId="77777777" w:rsidR="002D0E99" w:rsidRDefault="000D329E">
            <w:r>
              <w:rPr>
                <w:sz w:val="18"/>
                <w:szCs w:val="18"/>
              </w:rPr>
              <w:t>Keystone 3</w:t>
            </w:r>
          </w:p>
        </w:tc>
        <w:tc>
          <w:tcPr>
            <w:tcW w:w="0" w:type="auto"/>
            <w:tcBorders>
              <w:top w:val="single" w:sz="1" w:space="0" w:color="CCCCCC"/>
              <w:left w:val="single" w:sz="1" w:space="0" w:color="CCCCCC"/>
              <w:bottom w:val="single" w:sz="1" w:space="0" w:color="CCCCCC"/>
              <w:right w:val="single" w:sz="1" w:space="0" w:color="CCCCCC"/>
            </w:tcBorders>
          </w:tcPr>
          <w:p w14:paraId="3AB7BDB7" w14:textId="77777777" w:rsidR="002D0E99" w:rsidRDefault="000D329E">
            <w:pPr>
              <w:jc w:val="center"/>
            </w:pPr>
            <w:r>
              <w:rPr>
                <w:sz w:val="18"/>
                <w:szCs w:val="18"/>
              </w:rPr>
              <w:t>EAL5+</w:t>
            </w:r>
          </w:p>
        </w:tc>
        <w:tc>
          <w:tcPr>
            <w:tcW w:w="0" w:type="auto"/>
            <w:tcBorders>
              <w:top w:val="single" w:sz="1" w:space="0" w:color="CCCCCC"/>
              <w:left w:val="single" w:sz="1" w:space="0" w:color="CCCCCC"/>
              <w:bottom w:val="single" w:sz="1" w:space="0" w:color="CCCCCC"/>
              <w:right w:val="single" w:sz="1" w:space="0" w:color="CCCCCC"/>
            </w:tcBorders>
          </w:tcPr>
          <w:p w14:paraId="35F5F294" w14:textId="77777777" w:rsidR="002D0E99" w:rsidRDefault="000D329E">
            <w:r>
              <w:rPr>
                <w:sz w:val="18"/>
                <w:szCs w:val="18"/>
              </w:rPr>
              <w:t>Triple SE (3 chips)</w:t>
            </w:r>
          </w:p>
        </w:tc>
        <w:tc>
          <w:tcPr>
            <w:tcW w:w="0" w:type="auto"/>
            <w:tcBorders>
              <w:top w:val="single" w:sz="1" w:space="0" w:color="CCCCCC"/>
              <w:left w:val="single" w:sz="1" w:space="0" w:color="CCCCCC"/>
              <w:bottom w:val="single" w:sz="1" w:space="0" w:color="CCCCCC"/>
              <w:right w:val="single" w:sz="1" w:space="0" w:color="CCCCCC"/>
            </w:tcBorders>
          </w:tcPr>
          <w:p w14:paraId="3767F8E0" w14:textId="77777777" w:rsidR="002D0E99" w:rsidRDefault="000D329E">
            <w:pPr>
              <w:jc w:val="center"/>
            </w:pPr>
            <w:r>
              <w:rPr>
                <w:sz w:val="18"/>
                <w:szCs w:val="18"/>
              </w:rPr>
              <w:t>Yes</w:t>
            </w:r>
          </w:p>
        </w:tc>
        <w:tc>
          <w:tcPr>
            <w:tcW w:w="0" w:type="auto"/>
            <w:tcBorders>
              <w:top w:val="single" w:sz="1" w:space="0" w:color="CCCCCC"/>
              <w:left w:val="single" w:sz="1" w:space="0" w:color="CCCCCC"/>
              <w:bottom w:val="single" w:sz="1" w:space="0" w:color="CCCCCC"/>
              <w:right w:val="single" w:sz="1" w:space="0" w:color="CCCCCC"/>
            </w:tcBorders>
          </w:tcPr>
          <w:p w14:paraId="2AC36C70" w14:textId="77777777" w:rsidR="002D0E99" w:rsidRDefault="000D329E">
            <w:pPr>
              <w:jc w:val="center"/>
            </w:pPr>
            <w:r>
              <w:rPr>
                <w:sz w:val="18"/>
                <w:szCs w:val="18"/>
              </w:rPr>
              <w:t>No</w:t>
            </w:r>
          </w:p>
        </w:tc>
      </w:tr>
    </w:tbl>
    <w:p w14:paraId="46A16F4C" w14:textId="77777777" w:rsidR="002D0E99" w:rsidRDefault="000D329E">
      <w:r>
        <w:br w:type="page"/>
      </w:r>
    </w:p>
    <w:p w14:paraId="3A378609" w14:textId="77777777" w:rsidR="002D0E99" w:rsidRDefault="000D329E">
      <w:pPr>
        <w:pStyle w:val="Heading1"/>
      </w:pPr>
      <w:bookmarkStart w:id="50" w:name="_Toc215817695"/>
      <w:r>
        <w:lastRenderedPageBreak/>
        <w:t>8. Social Recovery Mechanisms</w:t>
      </w:r>
      <w:bookmarkEnd w:id="50"/>
    </w:p>
    <w:p w14:paraId="7F1DCF6C" w14:textId="77777777" w:rsidR="002D0E99" w:rsidRDefault="000D329E">
      <w:pPr>
        <w:pStyle w:val="Heading2"/>
      </w:pPr>
      <w:bookmarkStart w:id="51" w:name="_Toc215817696"/>
      <w:r>
        <w:t>8.1 Conceptual Framework</w:t>
      </w:r>
      <w:bookmarkEnd w:id="51"/>
    </w:p>
    <w:p w14:paraId="35AB5F5E" w14:textId="77777777" w:rsidR="002D0E99" w:rsidRDefault="000D329E">
      <w:pPr>
        <w:spacing w:after="200" w:line="276" w:lineRule="auto"/>
        <w:jc w:val="both"/>
      </w:pPr>
      <w:r>
        <w:t>Social recovery represents a paradigm for wallet security that replaces or supplements seed phrase backup with a network of trusted guardians. When users lose access to their primary signing key, a threshold of guardians can authorize replacement with a ne</w:t>
      </w:r>
      <w:r>
        <w:t>w key, enabling recovery without requiring the user to have maintained possession of any backup material. Vitalik Buterin described social recovery as his "preferred method for securing a wallet" in a widely-referenced January 2021 blog post (Buterin, 2021</w:t>
      </w:r>
      <w:r>
        <w:t>).</w:t>
      </w:r>
    </w:p>
    <w:p w14:paraId="0A7659D1" w14:textId="77777777" w:rsidR="002D0E99" w:rsidRDefault="000D329E">
      <w:pPr>
        <w:spacing w:after="200" w:line="276" w:lineRule="auto"/>
        <w:jc w:val="both"/>
      </w:pPr>
      <w:r>
        <w:t>The social recovery model acknowledges a fundamental reality of human behavior: people routinely lose possession of physical backup materials, forget passwords, and fail to maintain security procedures over multi-year time horizons. By distributing reco</w:t>
      </w:r>
      <w:r>
        <w:t>very authority among trusted parties, social recovery converts the single point of failure inherent in seed phrase backup into a distributed system resilient to individual failures.</w:t>
      </w:r>
    </w:p>
    <w:p w14:paraId="79605108" w14:textId="77777777" w:rsidR="002D0E99" w:rsidRDefault="000D329E">
      <w:pPr>
        <w:pStyle w:val="Heading2"/>
      </w:pPr>
      <w:bookmarkStart w:id="52" w:name="_Toc215817697"/>
      <w:r>
        <w:t>8.2 Guardian Selection and Architecture</w:t>
      </w:r>
      <w:bookmarkEnd w:id="52"/>
    </w:p>
    <w:p w14:paraId="7F11A341" w14:textId="77777777" w:rsidR="002D0E99" w:rsidRDefault="000D329E">
      <w:pPr>
        <w:spacing w:after="200" w:line="276" w:lineRule="auto"/>
        <w:jc w:val="both"/>
      </w:pPr>
      <w:r>
        <w:t>Effective social recovery requires</w:t>
      </w:r>
      <w:r>
        <w:t xml:space="preserve"> careful selection of guardians who are trustworthy, available, and unlikely to collude. Buterin's recommendations suggest a diverse guardian set including trusted friends or family members, hardware wallets under the user's control, specialized guardian s</w:t>
      </w:r>
      <w:r>
        <w:t>ervices, other personal devices, and potentially institutional guardians for high-value accounts (Buterin, 2021).</w:t>
      </w:r>
    </w:p>
    <w:p w14:paraId="62B0DE7C" w14:textId="77777777" w:rsidR="002D0E99" w:rsidRDefault="000D329E">
      <w:pPr>
        <w:spacing w:after="200" w:line="276" w:lineRule="auto"/>
        <w:jc w:val="both"/>
      </w:pPr>
      <w:r>
        <w:t>Guardian architecture typically implements M-of-N threshold requirements, where M guardians from a set of N must approve recovery actions. Com</w:t>
      </w:r>
      <w:r>
        <w:t>mon configurations include 2-of-3 for individual users and 3-of-5 or higher for organizational accounts. The threshold choice balances security against availability—higher thresholds provide greater protection against guardian compromise but increase the r</w:t>
      </w:r>
      <w:r>
        <w:t>isk that legitimate recovery attempts fail due to unresponsive guardians.</w:t>
      </w:r>
    </w:p>
    <w:p w14:paraId="36542E36" w14:textId="77777777" w:rsidR="002D0E99" w:rsidRDefault="000D329E">
      <w:pPr>
        <w:spacing w:after="200" w:line="276" w:lineRule="auto"/>
        <w:jc w:val="both"/>
      </w:pPr>
      <w:r>
        <w:t>Security measures accompanying guardian-based recovery include time delays (typically 24-48 hours) during which the legitimate owner can cancel unauthorized recovery attempts, notifi</w:t>
      </w:r>
      <w:r>
        <w:t>cation systems alerting users to recovery initiation, and graduated thresholds that increase as asset value grows. These controls provide defense-in-depth against guardian compromise or impersonation.</w:t>
      </w:r>
    </w:p>
    <w:p w14:paraId="567DAE6C" w14:textId="77777777" w:rsidR="002D0E99" w:rsidRDefault="000D329E">
      <w:pPr>
        <w:pStyle w:val="Heading2"/>
      </w:pPr>
      <w:bookmarkStart w:id="53" w:name="_Toc215817698"/>
      <w:r>
        <w:t>8.3 Implementation Analysis</w:t>
      </w:r>
      <w:bookmarkEnd w:id="53"/>
    </w:p>
    <w:p w14:paraId="2E995926" w14:textId="77777777" w:rsidR="002D0E99" w:rsidRDefault="000D329E">
      <w:pPr>
        <w:pStyle w:val="Heading3"/>
      </w:pPr>
      <w:bookmarkStart w:id="54" w:name="_Toc215817699"/>
      <w:r>
        <w:t>8.3.1 Argent Wallet</w:t>
      </w:r>
      <w:bookmarkEnd w:id="54"/>
    </w:p>
    <w:p w14:paraId="4BFDE092" w14:textId="77777777" w:rsidR="002D0E99" w:rsidRDefault="000D329E">
      <w:pPr>
        <w:spacing w:after="200" w:line="276" w:lineRule="auto"/>
        <w:jc w:val="both"/>
      </w:pPr>
      <w:r>
        <w:t>Argent,</w:t>
      </w:r>
      <w:r>
        <w:t xml:space="preserve"> launched in 2018, pioneered the social recovery wallet concept with a user-friendly implementation predating formal account abstraction standards. The wallet enables users to designate guardians who can collectively replace the signing key if the user los</w:t>
      </w:r>
      <w:r>
        <w:t xml:space="preserve">es device access. </w:t>
      </w:r>
      <w:r>
        <w:lastRenderedPageBreak/>
        <w:t>Additional security features include daily spending limits and address whitelisting that can only be modified through guardian approval (Argent, 2018).</w:t>
      </w:r>
    </w:p>
    <w:p w14:paraId="659D0BBE" w14:textId="77777777" w:rsidR="002D0E99" w:rsidRDefault="000D329E">
      <w:pPr>
        <w:spacing w:after="200" w:line="276" w:lineRule="auto"/>
        <w:jc w:val="both"/>
      </w:pPr>
      <w:r>
        <w:t>The Argent guardian model supports multiple guardian types including other Argent user</w:t>
      </w:r>
      <w:r>
        <w:t>s, hardware wallets, and the Argent Guard service for users who prefer institutional backup. The 36-hour recovery delay provides opportunity for legitimate owners to cancel unauthorized recovery attempts while remaining short enough for practical emergency</w:t>
      </w:r>
      <w:r>
        <w:t xml:space="preserve"> access.</w:t>
      </w:r>
    </w:p>
    <w:p w14:paraId="54D85588" w14:textId="77777777" w:rsidR="002D0E99" w:rsidRDefault="000D329E">
      <w:pPr>
        <w:pStyle w:val="Heading3"/>
      </w:pPr>
      <w:bookmarkStart w:id="55" w:name="_Toc215817700"/>
      <w:r>
        <w:t>8.3.2 Loopring Wallet</w:t>
      </w:r>
      <w:bookmarkEnd w:id="55"/>
    </w:p>
    <w:p w14:paraId="0A5636A0" w14:textId="77777777" w:rsidR="002D0E99" w:rsidRDefault="000D329E">
      <w:pPr>
        <w:spacing w:after="200" w:line="276" w:lineRule="auto"/>
        <w:jc w:val="both"/>
      </w:pPr>
      <w:r>
        <w:t xml:space="preserve">Loopring's smart contract wallet integrates social recovery with zkRollup layer-2 scalability, enabling low-cost transactions while maintaining the security of Ethereum settlement. The wallet supports guardians including the </w:t>
      </w:r>
      <w:r>
        <w:t>Loopring Official Guardian service, which provides backup recovery through email and two-factor authentication verification (Loopring, 2022).</w:t>
      </w:r>
    </w:p>
    <w:p w14:paraId="287A410A" w14:textId="77777777" w:rsidR="002D0E99" w:rsidRDefault="000D329E">
      <w:pPr>
        <w:spacing w:after="200" w:line="276" w:lineRule="auto"/>
        <w:jc w:val="both"/>
      </w:pPr>
      <w:r>
        <w:t>The Loopring architecture demonstrates both the potential and the risks of social recovery systems. While enabling</w:t>
      </w:r>
      <w:r>
        <w:t xml:space="preserve"> recovery for users who would otherwise permanently lose funds, the Official Guardian service creates a centralized point of trust that has been targeted by attackers, as discussed in the security incidents section.</w:t>
      </w:r>
    </w:p>
    <w:p w14:paraId="751DD6D9" w14:textId="77777777" w:rsidR="002D0E99" w:rsidRDefault="000D329E">
      <w:pPr>
        <w:pStyle w:val="Heading3"/>
      </w:pPr>
      <w:bookmarkStart w:id="56" w:name="_Toc215817701"/>
      <w:r>
        <w:t>8.3.3 ZK-Email Recovery</w:t>
      </w:r>
      <w:bookmarkEnd w:id="56"/>
    </w:p>
    <w:p w14:paraId="14C84835" w14:textId="77777777" w:rsidR="002D0E99" w:rsidRDefault="000D329E">
      <w:pPr>
        <w:spacing w:after="200" w:line="276" w:lineRule="auto"/>
        <w:jc w:val="both"/>
      </w:pPr>
      <w:r>
        <w:t>Zero-knowledge e</w:t>
      </w:r>
      <w:r>
        <w:t>mail verification represents an emerging guardian type that enables recovery without revealing email addresses on-chain. Using ZK proofs, users can prove ownership of an email account to a smart contract without exposing the email address itself. Vitalik B</w:t>
      </w:r>
      <w:r>
        <w:t>uterin's 2024 recommendations specifically identify zk-email as suitable for one guardian slot in a 2-of-3 configuration (Buterin, 2024).</w:t>
      </w:r>
    </w:p>
    <w:p w14:paraId="6286D904" w14:textId="77777777" w:rsidR="002D0E99" w:rsidRDefault="000D329E">
      <w:pPr>
        <w:spacing w:after="200" w:line="276" w:lineRule="auto"/>
        <w:jc w:val="both"/>
      </w:pPr>
      <w:r>
        <w:t>The zk-email approach addresses privacy concerns inherent in earlier email-based recovery systems that exposed user em</w:t>
      </w:r>
      <w:r>
        <w:t>ail addresses during recovery transactions. By proving DKIM signature verification in zero-knowledge, the system confirms email account control without creating linkages between on-chain wallets and off-chain identities.</w:t>
      </w:r>
    </w:p>
    <w:p w14:paraId="6A405E65" w14:textId="77777777" w:rsidR="002D0E99" w:rsidRDefault="000D329E">
      <w:pPr>
        <w:pStyle w:val="Heading2"/>
      </w:pPr>
      <w:bookmarkStart w:id="57" w:name="_Toc215817702"/>
      <w:r>
        <w:t>8.4 Security Considerations and Lim</w:t>
      </w:r>
      <w:r>
        <w:t>itations</w:t>
      </w:r>
      <w:bookmarkEnd w:id="57"/>
    </w:p>
    <w:p w14:paraId="427230C4" w14:textId="77777777" w:rsidR="002D0E99" w:rsidRDefault="000D329E">
      <w:pPr>
        <w:spacing w:after="200" w:line="276" w:lineRule="auto"/>
        <w:jc w:val="both"/>
      </w:pPr>
      <w:r>
        <w:t>Social recovery systems introduce attack surfaces distinct from traditional wallet security. Guardian impersonation through SIM swapping, email compromise, or social engineering can enable unauthorized recovery if attackers compromise threshold gu</w:t>
      </w:r>
      <w:r>
        <w:t>ardians. The Loopring hack of June 2024 demonstrated this vulnerability in practice.</w:t>
      </w:r>
    </w:p>
    <w:p w14:paraId="31C5B482" w14:textId="77777777" w:rsidR="002D0E99" w:rsidRDefault="000D329E">
      <w:pPr>
        <w:spacing w:after="200" w:line="276" w:lineRule="auto"/>
        <w:jc w:val="both"/>
      </w:pPr>
      <w:r>
        <w:t xml:space="preserve">Guardian availability presents operational challenges distinct from seed phrase systems. Guardians may become unreachable due to death, changed circumstances, lost access </w:t>
      </w:r>
      <w:r>
        <w:t>to their own guardian credentials, or simple unresponsiveness. Wallet implementations must balance guardian simplicity against robustness, potentially requiring periodic guardian rotation or liveness checks.</w:t>
      </w:r>
    </w:p>
    <w:p w14:paraId="08AAA8E3" w14:textId="77777777" w:rsidR="002D0E99" w:rsidRDefault="000D329E">
      <w:pPr>
        <w:spacing w:after="200" w:line="276" w:lineRule="auto"/>
        <w:jc w:val="both"/>
      </w:pPr>
      <w:r>
        <w:lastRenderedPageBreak/>
        <w:t>The fundamental trade-off in social recovery involves exchanging cryptographic security (seed phrase possession) for social/institutional trust (guardian honesty and competence). For users unable to maintain secure seed phrase backups, this trade-off may r</w:t>
      </w:r>
      <w:r>
        <w:t>epresent an overall security improvement. For users with strong operational security practices, traditional self-custody may remain preferable.</w:t>
      </w:r>
    </w:p>
    <w:p w14:paraId="161DAEC9" w14:textId="77777777" w:rsidR="002D0E99" w:rsidRDefault="000D329E">
      <w:r>
        <w:br w:type="page"/>
      </w:r>
    </w:p>
    <w:p w14:paraId="0BC70FD7" w14:textId="77777777" w:rsidR="002D0E99" w:rsidRDefault="000D329E">
      <w:pPr>
        <w:pStyle w:val="Heading1"/>
      </w:pPr>
      <w:bookmarkStart w:id="58" w:name="_Toc215817703"/>
      <w:r>
        <w:lastRenderedPageBreak/>
        <w:t>9. Security Vulnerabilities and Major Incidents</w:t>
      </w:r>
      <w:bookmarkEnd w:id="58"/>
    </w:p>
    <w:p w14:paraId="6EB77522" w14:textId="77777777" w:rsidR="002D0E99" w:rsidRDefault="000D329E">
      <w:pPr>
        <w:pStyle w:val="Heading2"/>
      </w:pPr>
      <w:bookmarkStart w:id="59" w:name="_Toc215817704"/>
      <w:r>
        <w:t>9.1 2024 Incident Overview</w:t>
      </w:r>
      <w:bookmarkEnd w:id="59"/>
    </w:p>
    <w:p w14:paraId="0F1584E1" w14:textId="77777777" w:rsidR="002D0E99" w:rsidRDefault="000D329E">
      <w:pPr>
        <w:spacing w:after="200" w:line="276" w:lineRule="auto"/>
        <w:jc w:val="both"/>
      </w:pPr>
      <w:r>
        <w:t>The year 2024 witnessed cryptocurre</w:t>
      </w:r>
      <w:r>
        <w:t>ncy security incidents resulting in losses exceeding $4 billion across centralized exchanges, decentralized protocols, and individual wallets. Analysis of these incidents reveals persistent vulnerabilities in private key management, authentication systems,</w:t>
      </w:r>
      <w:r>
        <w:t xml:space="preserve"> and operational security practices. The concentration of losses among a small number of major incidents underscores the catastrophic consequences of security failures in high-value custodial systems.</w:t>
      </w:r>
    </w:p>
    <w:p w14:paraId="47975207" w14:textId="77777777" w:rsidR="002D0E99" w:rsidRDefault="000D329E">
      <w:pPr>
        <w:spacing w:after="200" w:line="276" w:lineRule="auto"/>
        <w:jc w:val="both"/>
      </w:pPr>
      <w:r>
        <w:t>Academic research published in 2025 systematically anal</w:t>
      </w:r>
      <w:r>
        <w:t>yzed 220 cryptocurrency exchange security incidents spanning 2009-2024, documenting cumulative losses exceeding $4.191 billion from centralized exchange compromises alone. The research identified private key theft as the predominant attack vector, accounti</w:t>
      </w:r>
      <w:r>
        <w:t>ng for the majority of losses by value, with hot wallet compromises particularly prevalent among victim organizations (Liu et al., 2025).</w:t>
      </w:r>
    </w:p>
    <w:p w14:paraId="1332A96B" w14:textId="77777777" w:rsidR="002D0E99" w:rsidRDefault="000D329E">
      <w:pPr>
        <w:pStyle w:val="Heading2"/>
      </w:pPr>
      <w:bookmarkStart w:id="60" w:name="_Toc215817705"/>
      <w:r>
        <w:t>9.2 DMM Bitcoin Hack (May 2024)</w:t>
      </w:r>
      <w:bookmarkEnd w:id="60"/>
    </w:p>
    <w:p w14:paraId="199A1D4E" w14:textId="77777777" w:rsidR="002D0E99" w:rsidRDefault="000D329E">
      <w:pPr>
        <w:spacing w:after="200" w:line="276" w:lineRule="auto"/>
        <w:jc w:val="both"/>
      </w:pPr>
      <w:r>
        <w:t xml:space="preserve">The DMM Bitcoin exchange suffered a private key compromise resulting in theft of 4,502.9 BTC, valued at approximately $305 million at the time of the incident. The attack targeted the exchange's hot wallet infrastructure, with the compromised private keys </w:t>
      </w:r>
      <w:r>
        <w:t>enabling direct fund extraction without requiring interaction with exchange systems. Security researchers attributed the attack to the Lazarus Group, a North Korean state-sponsored threat actor with extensive cryptocurrency theft history (Chainalysis, 2024</w:t>
      </w:r>
      <w:r>
        <w:t>).</w:t>
      </w:r>
    </w:p>
    <w:p w14:paraId="4862EBFD" w14:textId="77777777" w:rsidR="002D0E99" w:rsidRDefault="000D329E">
      <w:pPr>
        <w:spacing w:after="200" w:line="276" w:lineRule="auto"/>
        <w:jc w:val="both"/>
      </w:pPr>
      <w:r>
        <w:t>The DMM Bitcoin incident highlighted persistent vulnerabilities in exchange hot wallet architecture. Despite industry awareness of hot wallet risks following numerous prior incidents, the exchange maintained sufficient hot wallet balances to enable nine</w:t>
      </w:r>
      <w:r>
        <w:t>-figure theft through a single key compromise. The incident reinforced recommendations for minimizing hot wallet exposure and implementing MPC or threshold signature schemes for high-value custodial operations.</w:t>
      </w:r>
    </w:p>
    <w:p w14:paraId="16041AA9" w14:textId="77777777" w:rsidR="002D0E99" w:rsidRDefault="000D329E">
      <w:pPr>
        <w:pStyle w:val="Heading2"/>
      </w:pPr>
      <w:bookmarkStart w:id="61" w:name="_Toc215817706"/>
      <w:r>
        <w:t>9.3 WazirX Compromise (July 2024)</w:t>
      </w:r>
      <w:bookmarkEnd w:id="61"/>
    </w:p>
    <w:p w14:paraId="367F7F64" w14:textId="77777777" w:rsidR="002D0E99" w:rsidRDefault="000D329E">
      <w:pPr>
        <w:spacing w:after="200" w:line="276" w:lineRule="auto"/>
        <w:jc w:val="both"/>
      </w:pPr>
      <w:r>
        <w:t>WazirX, Ind</w:t>
      </w:r>
      <w:r>
        <w:t>ia's largest cryptocurrency exchange, lost approximately $235 million through a sophisticated attack exploiting the interface between the exchange and its custody provider Liminal. The attack did not compromise private keys directly; rather, attackers mani</w:t>
      </w:r>
      <w:r>
        <w:t>pulated the transaction signing interface to substitute malicious transaction payloads for legitimate ones during the multi-signature approval process (WazirX, 2024).</w:t>
      </w:r>
    </w:p>
    <w:p w14:paraId="5446E96E" w14:textId="77777777" w:rsidR="002D0E99" w:rsidRDefault="000D329E">
      <w:pPr>
        <w:spacing w:after="200" w:line="276" w:lineRule="auto"/>
        <w:jc w:val="both"/>
      </w:pPr>
      <w:r>
        <w:t>The WazirX attack methodology demonstrated the limitations of multi-signature security wh</w:t>
      </w:r>
      <w:r>
        <w:t>en signing interfaces can be compromised. Although multiple signers approved each transaction, they approved manipulated data rather than the legitimate transactions displayed in their interfaces. This attack pattern has significant implications for instit</w:t>
      </w:r>
      <w:r>
        <w:t>utional custody, where multiple approval parties typically rely on shared software infrastructure.</w:t>
      </w:r>
    </w:p>
    <w:p w14:paraId="3F761374" w14:textId="77777777" w:rsidR="002D0E99" w:rsidRDefault="000D329E">
      <w:pPr>
        <w:pStyle w:val="Heading2"/>
      </w:pPr>
      <w:bookmarkStart w:id="62" w:name="_Toc215817707"/>
      <w:r>
        <w:lastRenderedPageBreak/>
        <w:t>9.4 Loopring Social Recovery Exploitation (June 2024)</w:t>
      </w:r>
      <w:bookmarkEnd w:id="62"/>
    </w:p>
    <w:p w14:paraId="2FD51199" w14:textId="77777777" w:rsidR="002D0E99" w:rsidRDefault="000D329E">
      <w:pPr>
        <w:spacing w:after="200" w:line="276" w:lineRule="auto"/>
        <w:jc w:val="both"/>
      </w:pPr>
      <w:r>
        <w:t>On June 9, 2024, attackers compromised 58 Loopring smart contract wallets, extracting approximately 1,3</w:t>
      </w:r>
      <w:r>
        <w:t>73 ETH ($5 million). The attack exploited vulnerabilities in Loopring's Official Guardian service, which provided recovery backup for users through email and two-factor authentication verification (Loopring, 2024).</w:t>
      </w:r>
    </w:p>
    <w:p w14:paraId="1C10E6DD" w14:textId="77777777" w:rsidR="002D0E99" w:rsidRDefault="000D329E">
      <w:pPr>
        <w:spacing w:after="200" w:line="276" w:lineRule="auto"/>
        <w:jc w:val="both"/>
      </w:pPr>
      <w:r>
        <w:t>The attack methodology involved compromis</w:t>
      </w:r>
      <w:r>
        <w:t>ing the two-factor authentication service used by the Official Guardian, enabling attackers to impersonate legitimate wallet owners during recovery requests. By demonstrating control of associated email accounts (potentially through SIM swapping or email s</w:t>
      </w:r>
      <w:r>
        <w:t>ervice compromise) and bypassing 2FA, attackers triggered recovery flows that replaced legitimate signing keys with attacker-controlled keys.</w:t>
      </w:r>
    </w:p>
    <w:p w14:paraId="4F755C50" w14:textId="77777777" w:rsidR="002D0E99" w:rsidRDefault="000D329E">
      <w:pPr>
        <w:spacing w:after="200" w:line="276" w:lineRule="auto"/>
        <w:jc w:val="both"/>
      </w:pPr>
      <w:r>
        <w:t>The Loopring incident exposed fundamental tensions in social recovery design. The Official Guardian service existe</w:t>
      </w:r>
      <w:r>
        <w:t>d to provide recovery for users who might otherwise be locked out permanently, but its centralized trust model created an attractive target for sophisticated attackers. The incident prompted Loopring to recommend users diversify guardians away from sole re</w:t>
      </w:r>
      <w:r>
        <w:t>liance on the Official Guardian service.</w:t>
      </w:r>
    </w:p>
    <w:p w14:paraId="64635375" w14:textId="77777777" w:rsidR="002D0E99" w:rsidRDefault="000D329E">
      <w:pPr>
        <w:pStyle w:val="Heading2"/>
      </w:pPr>
      <w:bookmarkStart w:id="63" w:name="_Toc215817708"/>
      <w:r>
        <w:t>9.5 Radiant Capital Attack (October 2024)</w:t>
      </w:r>
      <w:bookmarkEnd w:id="63"/>
    </w:p>
    <w:p w14:paraId="5185AD02" w14:textId="77777777" w:rsidR="002D0E99" w:rsidRDefault="000D329E">
      <w:pPr>
        <w:spacing w:after="200" w:line="276" w:lineRule="auto"/>
        <w:jc w:val="both"/>
      </w:pPr>
      <w:r>
        <w:t>Radiant Capital, a cross-chain lending protocol, lost approximately $51 million through an attack that compromised the transaction signing interface used by protocol adminis</w:t>
      </w:r>
      <w:r>
        <w:t>trators. The attackers deployed malware that manipulated the Safe (Gnosis Safe) wallet interface, displaying legitimate transaction details while submitting malicious payloads for signature (Radiant Capital, 2024).</w:t>
      </w:r>
    </w:p>
    <w:p w14:paraId="104B0916" w14:textId="77777777" w:rsidR="002D0E99" w:rsidRDefault="000D329E">
      <w:pPr>
        <w:spacing w:after="200" w:line="276" w:lineRule="auto"/>
        <w:jc w:val="both"/>
      </w:pPr>
      <w:r>
        <w:t>The attack demonstrated that multi-signat</w:t>
      </w:r>
      <w:r>
        <w:t>ure controls provide limited protection when signers cannot verify the actual content being signed. Hardware wallet integration, while protecting private keys from extraction, does not prevent signing of malicious transactions if the transaction details di</w:t>
      </w:r>
      <w:r>
        <w:t>splayed to users differ from those actually submitted. This attack class has prompted development of hardware wallet interfaces that independently verify transaction details.</w:t>
      </w:r>
    </w:p>
    <w:p w14:paraId="29A83EED" w14:textId="77777777" w:rsidR="002D0E99" w:rsidRDefault="000D329E">
      <w:pPr>
        <w:pStyle w:val="Heading2"/>
      </w:pPr>
      <w:bookmarkStart w:id="64" w:name="_Toc215817709"/>
      <w:r>
        <w:t>9.6 Systematic Vulnerability Analysis</w:t>
      </w:r>
      <w:bookmarkEnd w:id="64"/>
    </w:p>
    <w:p w14:paraId="3682CAD6" w14:textId="77777777" w:rsidR="002D0E99" w:rsidRDefault="000D329E">
      <w:pPr>
        <w:spacing w:after="200" w:line="276" w:lineRule="auto"/>
        <w:jc w:val="both"/>
      </w:pPr>
      <w:r>
        <w:t>Academic systematization of wallet security</w:t>
      </w:r>
      <w:r>
        <w:t xml:space="preserve"> vulnerabilities has identified six primary vulnerability categories affecting cryptocurrency wallets. Houy, Schmid, and Barber (2023) documented these categories as: key generation weaknesses (including insufficient entropy and predictable seed generation</w:t>
      </w:r>
      <w:r>
        <w:t>), key storage vulnerabilities (including plaintext storage and inadequate encryption), transaction signing flaws (including nonce reuse and side-channel leakage), backup and recovery weaknesses, authentication bypass, and implementation errors.</w:t>
      </w:r>
    </w:p>
    <w:p w14:paraId="52AC4B2F" w14:textId="77777777" w:rsidR="002D0E99" w:rsidRDefault="000D329E">
      <w:pPr>
        <w:spacing w:after="200" w:line="276" w:lineRule="auto"/>
        <w:jc w:val="both"/>
      </w:pPr>
      <w:r>
        <w:t>Research p</w:t>
      </w:r>
      <w:r>
        <w:t>ublished in 2025 extended this taxonomy with analysis of layer-specific attack vectors. The study distinguished between consensus-layer vulnerabilities (double-spending, selfish mining, long-range attacks), smart contract vulnerabilities (reentrancy, integ</w:t>
      </w:r>
      <w:r>
        <w:t xml:space="preserve">er </w:t>
      </w:r>
      <w:r>
        <w:lastRenderedPageBreak/>
        <w:t>overflow, access control failures), and application-layer vulnerabilities (wallet compromise, exchange hacks, phishing). This layered analysis enables targeted security improvements appropriate to each architectural component (Chen et al., 2025).</w:t>
      </w:r>
    </w:p>
    <w:p w14:paraId="36CD22F1" w14:textId="77777777" w:rsidR="002D0E99" w:rsidRDefault="000D329E">
      <w:r>
        <w:br w:type="page"/>
      </w:r>
    </w:p>
    <w:p w14:paraId="76C23B5C" w14:textId="77777777" w:rsidR="002D0E99" w:rsidRDefault="000D329E">
      <w:pPr>
        <w:pStyle w:val="Heading1"/>
      </w:pPr>
      <w:bookmarkStart w:id="65" w:name="_Toc215817710"/>
      <w:r>
        <w:lastRenderedPageBreak/>
        <w:t xml:space="preserve">10. </w:t>
      </w:r>
      <w:r>
        <w:t>Post-Quantum Cryptography Migration</w:t>
      </w:r>
      <w:bookmarkEnd w:id="65"/>
    </w:p>
    <w:p w14:paraId="146C2106" w14:textId="77777777" w:rsidR="002D0E99" w:rsidRDefault="000D329E">
      <w:pPr>
        <w:pStyle w:val="Heading2"/>
      </w:pPr>
      <w:bookmarkStart w:id="66" w:name="_Toc215817711"/>
      <w:r>
        <w:t>10.1 The Quantum Threat to Blockchain Cryptography</w:t>
      </w:r>
      <w:bookmarkEnd w:id="66"/>
    </w:p>
    <w:p w14:paraId="133BAC8A" w14:textId="77777777" w:rsidR="002D0E99" w:rsidRDefault="000D329E">
      <w:pPr>
        <w:spacing w:after="200" w:line="276" w:lineRule="auto"/>
        <w:jc w:val="both"/>
      </w:pPr>
      <w:r>
        <w:t>Blockchain systems overwhelmingly rely on elliptic curve cryptography (specifically the secp256k1 curve for Bitcoin and Ethereum) for digital signatures and on SHA-256 f</w:t>
      </w:r>
      <w:r>
        <w:t>or hash functions. Shor's algorithm, running on a sufficiently powerful quantum computer, can solve the discrete logarithm problem underlying ECDSA in polynomial time, enabling private key extraction from public keys. While current quantum computers lack t</w:t>
      </w:r>
      <w:r>
        <w:t>he qubit count and error correction capabilities for this attack, projections estimate "Q-Day"—the point at which quantum computers threaten deployed cryptography—may arrive as early as 2030.</w:t>
      </w:r>
    </w:p>
    <w:p w14:paraId="7356D6F0" w14:textId="77777777" w:rsidR="002D0E99" w:rsidRDefault="000D329E">
      <w:pPr>
        <w:spacing w:after="200" w:line="276" w:lineRule="auto"/>
        <w:jc w:val="both"/>
      </w:pPr>
      <w:r>
        <w:t>The "harvest now, decrypt later" threat model presents immediate</w:t>
      </w:r>
      <w:r>
        <w:t xml:space="preserve"> concerns despite the timeline uncertainty. Adversaries can record current blockchain transactions and encrypted communications with the expectation of future quantum decryption. For blockchain systems where transaction history is permanently public, this </w:t>
      </w:r>
      <w:r>
        <w:t>means that keys used today may become vulnerable in the future, potentially enabling retroactive theft from addresses that have not been spent from.</w:t>
      </w:r>
    </w:p>
    <w:p w14:paraId="6580A6DA" w14:textId="77777777" w:rsidR="002D0E99" w:rsidRDefault="000D329E">
      <w:pPr>
        <w:pStyle w:val="Heading2"/>
      </w:pPr>
      <w:bookmarkStart w:id="67" w:name="_Toc215817712"/>
      <w:r>
        <w:t>10.2 NIST Post-Quantum Standardization</w:t>
      </w:r>
      <w:bookmarkEnd w:id="67"/>
    </w:p>
    <w:p w14:paraId="138DE82B" w14:textId="77777777" w:rsidR="002D0E99" w:rsidRDefault="000D329E">
      <w:pPr>
        <w:spacing w:after="200" w:line="276" w:lineRule="auto"/>
        <w:jc w:val="both"/>
      </w:pPr>
      <w:r>
        <w:t>The National Institute of Standards and Technology completed its fir</w:t>
      </w:r>
      <w:r>
        <w:t>st wave of post-quantum cryptography standardization on August 13, 2024, publishing three Federal Information Processing Standards. FIPS 203 standardizes ML-KEM (Module-Lattice-Based Key-Encapsulation Mechanism, derived from CRYSTALS-Kyber) for key establi</w:t>
      </w:r>
      <w:r>
        <w:t>shment. FIPS 204 standardizes ML-DSA (Module-Lattice-Based Digital Signature Algorithm, derived from CRYSTALS-Dilithium) for digital signatures. FIPS 205 standardizes SLH-DSA (Stateless Hash-Based Digital Signature Algorithm, derived from SPHINCS+) as a ha</w:t>
      </w:r>
      <w:r>
        <w:t>sh-based signature backup (NIST, 2024).</w:t>
      </w:r>
    </w:p>
    <w:p w14:paraId="46106D79" w14:textId="77777777" w:rsidR="002D0E99" w:rsidRDefault="000D329E">
      <w:pPr>
        <w:spacing w:after="200" w:line="276" w:lineRule="auto"/>
        <w:jc w:val="both"/>
      </w:pPr>
      <w:r>
        <w:t>NIST published FIPS 206 in late 2024, standardizing FN-DSA (Fast Fourier Transform over NTRU-Lattice-Based Digital Signature Algorithm, derived from FALCON), providing an alternative lattice-based signature scheme wi</w:t>
      </w:r>
      <w:r>
        <w:t>th smaller signature sizes than ML-DSA at the cost of more complex implementation. In March 2025, NIST selected HQC (Hamming Quasi-Cyclic) as a fifth algorithm, providing code-based key encapsulation as an alternative to lattice-based ML-KEM (NIST, 2025).</w:t>
      </w:r>
    </w:p>
    <w:p w14:paraId="7F44891B" w14:textId="77777777" w:rsidR="002D0E99" w:rsidRDefault="000D329E">
      <w:pPr>
        <w:pStyle w:val="Heading2"/>
      </w:pPr>
      <w:bookmarkStart w:id="68" w:name="_Toc215817713"/>
      <w:r>
        <w:t>10.3 Migration Timeline and Compliance Requirements</w:t>
      </w:r>
      <w:bookmarkEnd w:id="68"/>
    </w:p>
    <w:p w14:paraId="034CBBF6" w14:textId="77777777" w:rsidR="002D0E99" w:rsidRDefault="000D329E">
      <w:pPr>
        <w:spacing w:after="200" w:line="276" w:lineRule="auto"/>
        <w:jc w:val="both"/>
      </w:pPr>
      <w:r>
        <w:t>NIST Internal Report 8547 establishes the migration timeline for federal systems, mandating transition away from current cryptographic algorithms by 2035. High-risk systems handling classified information</w:t>
      </w:r>
      <w:r>
        <w:t xml:space="preserve"> face earlier deadlines, while commercial systems are expected to follow similar timelines as compliance requirements propagate through regulatory frameworks and supply chain requirements.</w:t>
      </w:r>
    </w:p>
    <w:p w14:paraId="31D37641" w14:textId="77777777" w:rsidR="002D0E99" w:rsidRDefault="000D329E">
      <w:pPr>
        <w:spacing w:after="200" w:line="276" w:lineRule="auto"/>
        <w:jc w:val="both"/>
      </w:pPr>
      <w:r>
        <w:lastRenderedPageBreak/>
        <w:t xml:space="preserve">The blockchain industry faces unique migration challenges compared </w:t>
      </w:r>
      <w:r>
        <w:t>to traditional systems. Protocol changes require consensus among decentralized participants, a process that has historically taken years for even relatively minor upgrades. Address formats, transaction structures, and signature verification logic are deepl</w:t>
      </w:r>
      <w:r>
        <w:t>y embedded in wallet implementations, exchange systems, and layer-2 protocols. The immutability of blockchain history means that quantum-vulnerable addresses cannot be retroactively protected.</w:t>
      </w:r>
    </w:p>
    <w:p w14:paraId="186C63B3" w14:textId="77777777" w:rsidR="002D0E99" w:rsidRDefault="000D329E">
      <w:pPr>
        <w:pStyle w:val="Heading2"/>
      </w:pPr>
      <w:bookmarkStart w:id="69" w:name="_Toc215817714"/>
      <w:r>
        <w:t>10.4 Technical Challenges</w:t>
      </w:r>
      <w:bookmarkEnd w:id="69"/>
    </w:p>
    <w:p w14:paraId="11398A78" w14:textId="77777777" w:rsidR="002D0E99" w:rsidRDefault="000D329E">
      <w:pPr>
        <w:spacing w:after="200" w:line="276" w:lineRule="auto"/>
        <w:jc w:val="both"/>
      </w:pPr>
      <w:r>
        <w:t xml:space="preserve">Post-quantum signature schemes impose significant overhead compared to ECDSA. ML-DSA-44 (NIST security level 2, comparable to current systems) produces signatures of approximately 2,420 bytes with public keys of 1,312 bytes, compared to ECDSA's 64-72 byte </w:t>
      </w:r>
      <w:r>
        <w:t>signatures and 33 byte compressed public keys. This size increase has direct implications for blockchain scalability, transaction fees, and storage requirements.</w:t>
      </w:r>
    </w:p>
    <w:p w14:paraId="6781D929" w14:textId="77777777" w:rsidR="002D0E99" w:rsidRDefault="000D329E">
      <w:pPr>
        <w:spacing w:after="200" w:line="276" w:lineRule="auto"/>
        <w:jc w:val="both"/>
      </w:pPr>
      <w:r>
        <w:t>Verification performance also differs substantially. While ECDSA signature verification comple</w:t>
      </w:r>
      <w:r>
        <w:t>tes in approximately 50 microseconds on modern hardware, ML-DSA verification requires several hundred microseconds. For block validation involving thousands of signature verifications, this difference accumulates significantly. Hash-based schemes like SLH-</w:t>
      </w:r>
      <w:r>
        <w:t>DSA offer longer verification times but stronger security assumptions.</w:t>
      </w:r>
    </w:p>
    <w:p w14:paraId="7B74E33E" w14:textId="77777777" w:rsidR="002D0E99" w:rsidRDefault="000D329E">
      <w:pPr>
        <w:spacing w:after="200" w:line="276" w:lineRule="auto"/>
        <w:jc w:val="both"/>
      </w:pPr>
      <w:r>
        <w:t>Hybrid signature schemes combining classical ECDSA with post-quantum algorithms provide a transitional approach. By requiring valid signatures from both schemes, hybrid approaches maint</w:t>
      </w:r>
      <w:r>
        <w:t>ain security if either scheme remains unbroken while adding the overhead of both. This defense-in-depth strategy enables gradual migration without requiring immediate abandonment of well-tested classical cryptography.</w:t>
      </w:r>
    </w:p>
    <w:p w14:paraId="4E3EAA33" w14:textId="77777777" w:rsidR="002D0E99" w:rsidRDefault="000D329E">
      <w:pPr>
        <w:pStyle w:val="Heading2"/>
      </w:pPr>
      <w:bookmarkStart w:id="70" w:name="_Toc215817715"/>
      <w:r>
        <w:t>10.5 Blockchain Implementation Efforts</w:t>
      </w:r>
      <w:bookmarkEnd w:id="70"/>
    </w:p>
    <w:p w14:paraId="551436ED" w14:textId="77777777" w:rsidR="002D0E99" w:rsidRDefault="000D329E">
      <w:pPr>
        <w:spacing w:after="200" w:line="276" w:lineRule="auto"/>
        <w:jc w:val="both"/>
      </w:pPr>
      <w:r>
        <w:t xml:space="preserve">BTQ Technologies launched Bitcoin Quantum (BTQ) in October 2025 as the first blockchain implementing NIST ML-DSA digital signatures. The implementation preserves Bitcoin's 21 million token supply cap and basic transaction model while replacing ECDSA with </w:t>
      </w:r>
      <w:r>
        <w:t>post-quantum signatures. The 64 MiB block size accommodates larger signature sizes while maintaining reasonable verification times (BTQ Technologies, 2025).</w:t>
      </w:r>
    </w:p>
    <w:p w14:paraId="038BF81F" w14:textId="77777777" w:rsidR="002D0E99" w:rsidRDefault="000D329E">
      <w:pPr>
        <w:spacing w:after="200" w:line="276" w:lineRule="auto"/>
        <w:jc w:val="both"/>
      </w:pPr>
      <w:r>
        <w:t>The Ethereum community has initiated research into post-quantum migration paths, with proposals ran</w:t>
      </w:r>
      <w:r>
        <w:t xml:space="preserve">ging from voluntary adoption of quantum-resistant accounts to mandatory protocol upgrades. The account abstraction framework (ERC-4337) provides a potential migration path where users can opt into quantum-resistant signature schemes through smart contract </w:t>
      </w:r>
      <w:r>
        <w:t>wallets without requiring consensus-layer changes.</w:t>
      </w:r>
    </w:p>
    <w:p w14:paraId="2BBA5E75" w14:textId="77777777" w:rsidR="002D0E99" w:rsidRDefault="000D329E">
      <w:pPr>
        <w:spacing w:after="200" w:line="276" w:lineRule="auto"/>
        <w:jc w:val="both"/>
      </w:pPr>
      <w:r>
        <w:t>Scientific research published in 2025 demonstrated practical quantum-secured blockchain frameworks integrating NIST-standardized algorithms with distributed ledger architectures. The research addresses not</w:t>
      </w:r>
      <w:r>
        <w:t xml:space="preserve"> only signature replacement but also quantum-resistant consensus mechanisms and secure key distribution for blockchain networks (Wang et al., 2025).</w:t>
      </w:r>
    </w:p>
    <w:p w14:paraId="27C673E4" w14:textId="77777777" w:rsidR="002D0E99" w:rsidRDefault="000D329E">
      <w:pPr>
        <w:pStyle w:val="Heading2"/>
      </w:pPr>
      <w:bookmarkStart w:id="71" w:name="_Toc215817716"/>
      <w:r>
        <w:lastRenderedPageBreak/>
        <w:t>10.6 Recommendations for Current Systems</w:t>
      </w:r>
      <w:bookmarkEnd w:id="71"/>
    </w:p>
    <w:p w14:paraId="0358ACF3" w14:textId="77777777" w:rsidR="002D0E99" w:rsidRDefault="000D329E">
      <w:pPr>
        <w:spacing w:after="200" w:line="276" w:lineRule="auto"/>
        <w:jc w:val="both"/>
      </w:pPr>
      <w:r>
        <w:t>Despite the uncertain quantum timeline, prudent risk management su</w:t>
      </w:r>
      <w:r>
        <w:t>ggests immediate actions for cryptocurrency holders and institutions. Avoiding address reuse limits exposure by ensuring that public keys are not revealed until spending occurs. Moving funds to fresh addresses before spending reduces the window during whic</w:t>
      </w:r>
      <w:r>
        <w:t>h public keys are exposed to potential "harvest now, decrypt later" attacks.</w:t>
      </w:r>
    </w:p>
    <w:p w14:paraId="7BEFA5D0" w14:textId="77777777" w:rsidR="002D0E99" w:rsidRDefault="000D329E">
      <w:pPr>
        <w:spacing w:after="200" w:line="276" w:lineRule="auto"/>
        <w:jc w:val="both"/>
      </w:pPr>
      <w:r>
        <w:t>Hardware wallet selection increasingly incorporates post-quantum considerations. The Trezor Safe 7's SLH-DSA implementation enables quantum-resistant seed backup, protecting the r</w:t>
      </w:r>
      <w:r>
        <w:t>ecovery phrase derivation even if quantum computers eventually threaten the underlying blockchain signatures. As additional hardware wallets implement NIST-standardized algorithms, users can prepare for migration while maintaining compatibility with curren</w:t>
      </w:r>
      <w:r>
        <w:t>t blockchain protocols.</w:t>
      </w:r>
    </w:p>
    <w:p w14:paraId="33B91DF7" w14:textId="77777777" w:rsidR="002D0E99" w:rsidRDefault="000D329E">
      <w:pPr>
        <w:spacing w:after="200" w:line="276" w:lineRule="auto"/>
        <w:jc w:val="both"/>
      </w:pPr>
      <w:r>
        <w:t>Organizations managing significant cryptocurrency holdings should develop formal post-quantum migration plans addressing timeline assumptions, technical requirements, and operational procedures. Engaging with blockchain protocol gov</w:t>
      </w:r>
      <w:r>
        <w:t>ernance processes ensures that organizational requirements are considered in protocol upgrade discussions.</w:t>
      </w:r>
    </w:p>
    <w:p w14:paraId="5FBF5AE1" w14:textId="77777777" w:rsidR="002D0E99" w:rsidRDefault="000D329E">
      <w:r>
        <w:br w:type="page"/>
      </w:r>
    </w:p>
    <w:p w14:paraId="4B0E54E3" w14:textId="77777777" w:rsidR="002D0E99" w:rsidRDefault="000D329E">
      <w:pPr>
        <w:pStyle w:val="Heading1"/>
      </w:pPr>
      <w:bookmarkStart w:id="72" w:name="_Toc215817717"/>
      <w:r>
        <w:lastRenderedPageBreak/>
        <w:t>11. Conclusions and Future Directions</w:t>
      </w:r>
      <w:bookmarkEnd w:id="72"/>
    </w:p>
    <w:p w14:paraId="7FDB588F" w14:textId="77777777" w:rsidR="002D0E99" w:rsidRDefault="000D329E">
      <w:pPr>
        <w:pStyle w:val="Heading2"/>
      </w:pPr>
      <w:bookmarkStart w:id="73" w:name="_Toc215817718"/>
      <w:r>
        <w:t>11.1 Summary of Key Findings</w:t>
      </w:r>
      <w:bookmarkEnd w:id="73"/>
    </w:p>
    <w:p w14:paraId="1CE16CD3" w14:textId="77777777" w:rsidR="002D0E99" w:rsidRDefault="000D329E">
      <w:pPr>
        <w:spacing w:after="200" w:line="276" w:lineRule="auto"/>
        <w:jc w:val="both"/>
      </w:pPr>
      <w:r>
        <w:t>This comprehensive examination of blockchain wallet technology reveals an ecosystem undergoing fundamental transformation across multiple dimensions. The foundational BIP standards (32, 39, 44, 49, 84, 86) have established robust interoperability framework</w:t>
      </w:r>
      <w:r>
        <w:t>s that enable consistent key management across hundreds of wallet implementations. These standards have proven remarkably durable, with the hierarchical deterministic architecture remaining the dominant paradigm more than a decade after BIP-32's publicatio</w:t>
      </w:r>
      <w:r>
        <w:t>n.</w:t>
      </w:r>
    </w:p>
    <w:p w14:paraId="0F188C55" w14:textId="77777777" w:rsidR="002D0E99" w:rsidRDefault="000D329E">
      <w:pPr>
        <w:spacing w:after="200" w:line="276" w:lineRule="auto"/>
        <w:jc w:val="both"/>
      </w:pPr>
      <w:r>
        <w:t>Multi-party computation has emerged as the institutional standard for custody, with threshold signature schemes addressing the single-point-of-failure concerns that historically limited enterprise cryptocurrency adoption. The FROST protocol's integratio</w:t>
      </w:r>
      <w:r>
        <w:t>n with Taproot positions MPC for continued growth, while the BitForge disclosure demonstrated that implementation quality remains critical even when underlying protocols are theoretically sound.</w:t>
      </w:r>
    </w:p>
    <w:p w14:paraId="3BCC5CC4" w14:textId="77777777" w:rsidR="002D0E99" w:rsidRDefault="000D329E">
      <w:pPr>
        <w:spacing w:after="200" w:line="276" w:lineRule="auto"/>
        <w:jc w:val="both"/>
      </w:pPr>
      <w:r>
        <w:t xml:space="preserve">Account abstraction through ERC-4337 and EIP-7702 represents </w:t>
      </w:r>
      <w:r>
        <w:t>the most significant evolution in wallet architecture since the introduction of HD wallets. By enabling programmable validation logic, gas sponsorship, and social recovery through standardized interfaces, account abstraction addresses long-standing usabili</w:t>
      </w:r>
      <w:r>
        <w:t>ty barriers while maintaining the self-custody ethos central to blockchain philosophy.</w:t>
      </w:r>
    </w:p>
    <w:p w14:paraId="2A0F9469" w14:textId="77777777" w:rsidR="002D0E99" w:rsidRDefault="000D329E">
      <w:pPr>
        <w:spacing w:after="200" w:line="276" w:lineRule="auto"/>
        <w:jc w:val="both"/>
      </w:pPr>
      <w:r>
        <w:t xml:space="preserve">Hardware wallet security continues advancing toward higher assurance levels, with EAL7 certification now commercially available and post-quantum algorithms beginning to </w:t>
      </w:r>
      <w:r>
        <w:t>appear in production devices. The convergence of formal security verification with consumer hardware positions hardware wallets as viable protection against increasingly sophisticated threat actors.</w:t>
      </w:r>
    </w:p>
    <w:p w14:paraId="32BD4561" w14:textId="77777777" w:rsidR="002D0E99" w:rsidRDefault="000D329E">
      <w:pPr>
        <w:pStyle w:val="Heading2"/>
      </w:pPr>
      <w:bookmarkStart w:id="74" w:name="_Toc215817719"/>
      <w:r>
        <w:t>11.2 Security Landscape Assessment</w:t>
      </w:r>
      <w:bookmarkEnd w:id="74"/>
    </w:p>
    <w:p w14:paraId="221B6DC9" w14:textId="77777777" w:rsidR="002D0E99" w:rsidRDefault="000D329E">
      <w:pPr>
        <w:spacing w:after="200" w:line="276" w:lineRule="auto"/>
        <w:jc w:val="both"/>
      </w:pPr>
      <w:r>
        <w:t>The 2024 incident anal</w:t>
      </w:r>
      <w:r>
        <w:t>ysis reveals persistent challenges in cryptocurrency security despite technological advances. Private key compromise remains the dominant attack vector, with billion-dollar losses demonstrating that institutional scale does not guarantee institutional secu</w:t>
      </w:r>
      <w:r>
        <w:t>rity. The interface manipulation attacks against WazirX and Radiant Capital highlight an emerging threat class that circumvents traditional multi-signature protections.</w:t>
      </w:r>
    </w:p>
    <w:p w14:paraId="114F7FCE" w14:textId="77777777" w:rsidR="002D0E99" w:rsidRDefault="000D329E">
      <w:pPr>
        <w:spacing w:after="200" w:line="276" w:lineRule="auto"/>
        <w:jc w:val="both"/>
      </w:pPr>
      <w:r>
        <w:t>Social recovery systems present a double-edged proposition: while enabling recovery for</w:t>
      </w:r>
      <w:r>
        <w:t xml:space="preserve"> users who would otherwise permanently lose funds, they create new attack surfaces that sophisticated adversaries have demonstrated ability to exploit. The Loopring incident underscores the need for guardian diversification and the limitations of centraliz</w:t>
      </w:r>
      <w:r>
        <w:t>ed backup services.</w:t>
      </w:r>
    </w:p>
    <w:p w14:paraId="31E6B5C3" w14:textId="77777777" w:rsidR="002D0E99" w:rsidRDefault="000D329E">
      <w:pPr>
        <w:pStyle w:val="Heading2"/>
      </w:pPr>
      <w:bookmarkStart w:id="75" w:name="_Toc215817720"/>
      <w:r>
        <w:t>11.3 Future Research Directions</w:t>
      </w:r>
      <w:bookmarkEnd w:id="75"/>
    </w:p>
    <w:p w14:paraId="7AD7CEF5" w14:textId="77777777" w:rsidR="002D0E99" w:rsidRDefault="000D329E">
      <w:pPr>
        <w:spacing w:after="200" w:line="276" w:lineRule="auto"/>
        <w:jc w:val="both"/>
      </w:pPr>
      <w:r>
        <w:t xml:space="preserve">Several research frontiers warrant continued investigation. Post-quantum migration strategies for decentralized systems lack established best practices, with the unique challenges of blockchain consensus </w:t>
      </w:r>
      <w:r>
        <w:t xml:space="preserve">and immutable history requiring novel approaches. Hybrid signature </w:t>
      </w:r>
      <w:r>
        <w:lastRenderedPageBreak/>
        <w:t>schemes offer transitional security but impose substantial overhead; optimized constructions balancing security and efficiency remain an active research area.</w:t>
      </w:r>
    </w:p>
    <w:p w14:paraId="442B7408" w14:textId="77777777" w:rsidR="002D0E99" w:rsidRDefault="000D329E">
      <w:pPr>
        <w:spacing w:after="200" w:line="276" w:lineRule="auto"/>
        <w:jc w:val="both"/>
      </w:pPr>
      <w:r>
        <w:t>The intersection of account ab</w:t>
      </w:r>
      <w:r>
        <w:t>straction with institutional compliance requirements presents opportunities for regulatory-compatible self-custody systems. Research into privacy-preserving compliance mechanisms could enable blockchain adoption in regulated industries while maintaining th</w:t>
      </w:r>
      <w:r>
        <w:t>e decentralization properties that distinguish blockchain from traditional financial infrastructure.</w:t>
      </w:r>
    </w:p>
    <w:p w14:paraId="520F2774" w14:textId="77777777" w:rsidR="002D0E99" w:rsidRDefault="000D329E">
      <w:pPr>
        <w:spacing w:after="200" w:line="276" w:lineRule="auto"/>
        <w:jc w:val="both"/>
      </w:pPr>
      <w:r>
        <w:t>Hardware wallet security continues evolving toward formal verification of both hardware and firmware. While EAL7 certification represents current state-of-</w:t>
      </w:r>
      <w:r>
        <w:t>the-art, research into provably secure secure elements and formally verified cryptographic implementations could further raise the security baseline for consumer devices.</w:t>
      </w:r>
    </w:p>
    <w:p w14:paraId="2A697119" w14:textId="77777777" w:rsidR="002D0E99" w:rsidRDefault="000D329E">
      <w:pPr>
        <w:pStyle w:val="Heading2"/>
      </w:pPr>
      <w:bookmarkStart w:id="76" w:name="_Toc215817721"/>
      <w:r>
        <w:t>11.4 Implications for Practice</w:t>
      </w:r>
      <w:bookmarkEnd w:id="76"/>
    </w:p>
    <w:p w14:paraId="2A248B66" w14:textId="77777777" w:rsidR="002D0E99" w:rsidRDefault="000D329E">
      <w:pPr>
        <w:spacing w:after="200" w:line="276" w:lineRule="auto"/>
        <w:jc w:val="both"/>
      </w:pPr>
      <w:r>
        <w:t>For individual users, the research supports several ac</w:t>
      </w:r>
      <w:r>
        <w:t>tionable recommendations. Hardware wallet adoption provides substantial security improvements over software-only solutions, with EAL6+ or higher certification appropriate for significant holdings. Social recovery through diversified guardians offers an alt</w:t>
      </w:r>
      <w:r>
        <w:t>ernative for users unable to maintain secure seed phrase backups. Address hygiene—avoiding reuse and minimizing exposed public keys—provides defense-in-depth against future quantum threats.</w:t>
      </w:r>
    </w:p>
    <w:p w14:paraId="57048E30" w14:textId="77777777" w:rsidR="002D0E99" w:rsidRDefault="000D329E">
      <w:pPr>
        <w:spacing w:after="200" w:line="276" w:lineRule="auto"/>
        <w:jc w:val="both"/>
      </w:pPr>
      <w:r>
        <w:t>For institutional custodians, MPC infrastructure has matured to production readiness, with multiple providers offering audited implementations. The BitForge disclosure emphasizes the importance of vendor due diligence and ongoing security monitoring. Multi</w:t>
      </w:r>
      <w:r>
        <w:t>-signature remains appropriate for transparency-critical applications, while MPC offers superior efficiency and privacy for operational transactions.</w:t>
      </w:r>
    </w:p>
    <w:p w14:paraId="64CFA1E0" w14:textId="77777777" w:rsidR="002D0E99" w:rsidRDefault="000D329E">
      <w:pPr>
        <w:spacing w:after="200" w:line="276" w:lineRule="auto"/>
        <w:jc w:val="both"/>
      </w:pPr>
      <w:r>
        <w:t>For blockchain protocol developers, account abstraction standards provide frameworks for user experience i</w:t>
      </w:r>
      <w:r>
        <w:t>mprovements without compromising decentralization. Post-quantum migration planning should begin now, with governance discussions addressing timeline assumptions and technical requirements. The Taproot activation demonstrated that significant protocol upgra</w:t>
      </w:r>
      <w:r>
        <w:t>des can achieve consensus when benefits are clear and implementation is well-tested.</w:t>
      </w:r>
    </w:p>
    <w:p w14:paraId="0C81F16F" w14:textId="77777777" w:rsidR="002D0E99" w:rsidRDefault="000D329E">
      <w:r>
        <w:br w:type="page"/>
      </w:r>
    </w:p>
    <w:p w14:paraId="7017E7BE" w14:textId="77777777" w:rsidR="002D0E99" w:rsidRDefault="000D329E">
      <w:pPr>
        <w:pStyle w:val="Heading1"/>
      </w:pPr>
      <w:bookmarkStart w:id="77" w:name="_Toc215817722"/>
      <w:r>
        <w:lastRenderedPageBreak/>
        <w:t>References</w:t>
      </w:r>
      <w:bookmarkEnd w:id="77"/>
    </w:p>
    <w:p w14:paraId="60225B9B" w14:textId="77777777" w:rsidR="002D0E99" w:rsidRDefault="000D329E">
      <w:pPr>
        <w:spacing w:after="200" w:line="276" w:lineRule="auto"/>
      </w:pPr>
      <w:r>
        <w:t>Antonopoulos, A. M. (2017). Mastering Bitcoin: Programming the Open Blockchain (2nd ed.). O'Reilly Media.</w:t>
      </w:r>
    </w:p>
    <w:p w14:paraId="2121459E" w14:textId="77777777" w:rsidR="002D0E99" w:rsidRDefault="000D329E">
      <w:pPr>
        <w:spacing w:after="200" w:line="276" w:lineRule="auto"/>
      </w:pPr>
      <w:r>
        <w:t>Argent. (2018). Introducing the Argent wallet: Secur</w:t>
      </w:r>
      <w:r>
        <w:t>ity without seed phrases. Argent Blog.</w:t>
      </w:r>
    </w:p>
    <w:p w14:paraId="14787EFD" w14:textId="77777777" w:rsidR="002D0E99" w:rsidRDefault="000D329E">
      <w:pPr>
        <w:spacing w:after="200" w:line="276" w:lineRule="auto"/>
      </w:pPr>
      <w:r>
        <w:t>Bitcoin Core. (2021). Taproot activation. Bitcoin Core Documentation.</w:t>
      </w:r>
    </w:p>
    <w:p w14:paraId="6DAC796A" w14:textId="77777777" w:rsidR="002D0E99" w:rsidRDefault="000D329E">
      <w:pPr>
        <w:spacing w:after="200" w:line="276" w:lineRule="auto"/>
      </w:pPr>
      <w:r>
        <w:t>BTQ Technologies. (2025). Bitcoin Quantum: Post-quantum blockchain implementation. BTQ Whitepaper.</w:t>
      </w:r>
    </w:p>
    <w:p w14:paraId="0CBAB89E" w14:textId="77777777" w:rsidR="002D0E99" w:rsidRDefault="000D329E">
      <w:pPr>
        <w:spacing w:after="200" w:line="276" w:lineRule="auto"/>
      </w:pPr>
      <w:r>
        <w:t>Buterin, V. (2021). Why we need wide adoption of</w:t>
      </w:r>
      <w:r>
        <w:t xml:space="preserve"> social recovery wallets. Vitalik.ca Blog.</w:t>
      </w:r>
    </w:p>
    <w:p w14:paraId="72494875" w14:textId="77777777" w:rsidR="002D0E99" w:rsidRDefault="000D329E">
      <w:pPr>
        <w:spacing w:after="200" w:line="276" w:lineRule="auto"/>
      </w:pPr>
      <w:r>
        <w:t>Buterin, V. (2024). My recommended wallet setup. Vitalik.ca Blog.</w:t>
      </w:r>
    </w:p>
    <w:p w14:paraId="006DA027" w14:textId="77777777" w:rsidR="002D0E99" w:rsidRDefault="000D329E">
      <w:pPr>
        <w:spacing w:after="200" w:line="276" w:lineRule="auto"/>
      </w:pPr>
      <w:r>
        <w:t>Buterin, V., et al. (2021). ERC-4337: Account Abstraction Using Alt Mempool. Ethereum Improvement Proposals.</w:t>
      </w:r>
    </w:p>
    <w:p w14:paraId="08A59E29" w14:textId="77777777" w:rsidR="002D0E99" w:rsidRDefault="000D329E">
      <w:pPr>
        <w:spacing w:after="200" w:line="276" w:lineRule="auto"/>
      </w:pPr>
      <w:r>
        <w:t xml:space="preserve">Buterin, V. (2024). EIP-7702: Set EOA </w:t>
      </w:r>
      <w:r>
        <w:t>account code for one transaction. Ethereum Improvement Proposals.</w:t>
      </w:r>
    </w:p>
    <w:p w14:paraId="54B141E4" w14:textId="77777777" w:rsidR="002D0E99" w:rsidRDefault="000D329E">
      <w:pPr>
        <w:spacing w:after="200" w:line="276" w:lineRule="auto"/>
      </w:pPr>
      <w:r>
        <w:t>Chainalysis. (2024). The 2024 Crypto Crime Report. Chainalysis Inc.</w:t>
      </w:r>
    </w:p>
    <w:p w14:paraId="2F39B99C" w14:textId="77777777" w:rsidR="002D0E99" w:rsidRDefault="000D329E">
      <w:pPr>
        <w:spacing w:after="200" w:line="276" w:lineRule="auto"/>
      </w:pPr>
      <w:r>
        <w:t>Chen, Y., et al. (2025). A layer-oriented blockchain vulnerability taxonomy. Future Internet, 17(5).</w:t>
      </w:r>
    </w:p>
    <w:p w14:paraId="54925583" w14:textId="77777777" w:rsidR="002D0E99" w:rsidRDefault="000D329E">
      <w:pPr>
        <w:spacing w:after="200" w:line="276" w:lineRule="auto"/>
      </w:pPr>
      <w:r>
        <w:t>Chow, A. (2021). BIP-</w:t>
      </w:r>
      <w:r>
        <w:t>86: Key derivation for single key P2TR outputs. Bitcoin Improvement Proposals.</w:t>
      </w:r>
    </w:p>
    <w:p w14:paraId="0CE75324" w14:textId="77777777" w:rsidR="002D0E99" w:rsidRDefault="000D329E">
      <w:pPr>
        <w:spacing w:after="200" w:line="276" w:lineRule="auto"/>
      </w:pPr>
      <w:r>
        <w:t>Fireblocks. (2023). BitForge: Fireblocks researchers uncover vulnerabilities in major MPC wallet providers. Fireblocks Research.</w:t>
      </w:r>
    </w:p>
    <w:p w14:paraId="216D49AC" w14:textId="77777777" w:rsidR="002D0E99" w:rsidRDefault="000D329E">
      <w:pPr>
        <w:spacing w:after="200" w:line="276" w:lineRule="auto"/>
      </w:pPr>
      <w:r>
        <w:t>Gennaro, R., &amp; Goldfeder, S. (2020). One round t</w:t>
      </w:r>
      <w:r>
        <w:t>hreshold ECDSA with identifiable abort. IACR Cryptology ePrint Archive.</w:t>
      </w:r>
    </w:p>
    <w:p w14:paraId="78B00ACC" w14:textId="77777777" w:rsidR="002D0E99" w:rsidRDefault="000D329E">
      <w:pPr>
        <w:spacing w:after="200" w:line="276" w:lineRule="auto"/>
      </w:pPr>
      <w:r>
        <w:t>Houy, N., Schmid, P., &amp; Barber, S. (2023). Security of cryptocurrency wallets: A systematic literature review. ACM Computing Surveys.</w:t>
      </w:r>
    </w:p>
    <w:p w14:paraId="149B209C" w14:textId="77777777" w:rsidR="002D0E99" w:rsidRDefault="000D329E">
      <w:pPr>
        <w:spacing w:after="200" w:line="276" w:lineRule="auto"/>
      </w:pPr>
      <w:r>
        <w:t xml:space="preserve">Johnson, D. (2016). BIP-49: Derivation scheme for </w:t>
      </w:r>
      <w:r>
        <w:t>P2WPKH-nested-in-P2SH based accounts. Bitcoin Improvement Proposals.</w:t>
      </w:r>
    </w:p>
    <w:p w14:paraId="1E3EB4C0" w14:textId="77777777" w:rsidR="002D0E99" w:rsidRDefault="000D329E">
      <w:pPr>
        <w:spacing w:after="200" w:line="276" w:lineRule="auto"/>
      </w:pPr>
      <w:r>
        <w:t>Johnson, D. (2017). BIP-84: Derivation scheme for P2WPKH based accounts. Bitcoin Improvement Proposals.</w:t>
      </w:r>
    </w:p>
    <w:p w14:paraId="66A8E671" w14:textId="77777777" w:rsidR="002D0E99" w:rsidRDefault="000D329E">
      <w:pPr>
        <w:spacing w:after="200" w:line="276" w:lineRule="auto"/>
      </w:pPr>
      <w:r>
        <w:t>Komlo, C., &amp; Goldberg, I. (2020). FROST: Flexible round-optimized Schnorr threshold</w:t>
      </w:r>
      <w:r>
        <w:t xml:space="preserve"> signatures. IACR Cryptology ePrint Archive.</w:t>
      </w:r>
    </w:p>
    <w:p w14:paraId="789D5BD5" w14:textId="77777777" w:rsidR="002D0E99" w:rsidRDefault="000D329E">
      <w:pPr>
        <w:spacing w:after="200" w:line="276" w:lineRule="auto"/>
      </w:pPr>
      <w:r>
        <w:t>Lindell, Y. (2017). Fast secure two-party ECDSA signing. CRYPTO 2017.</w:t>
      </w:r>
    </w:p>
    <w:p w14:paraId="47D8F1F7" w14:textId="77777777" w:rsidR="002D0E99" w:rsidRDefault="000D329E">
      <w:pPr>
        <w:spacing w:after="200" w:line="276" w:lineRule="auto"/>
      </w:pPr>
      <w:r>
        <w:lastRenderedPageBreak/>
        <w:t>Liu, X., et al. (2025). Cryptocurrency exchange security incidents: A systematic analysis 2009-2024. Frontiers in Blockchain.</w:t>
      </w:r>
    </w:p>
    <w:p w14:paraId="68C766AC" w14:textId="77777777" w:rsidR="002D0E99" w:rsidRDefault="000D329E">
      <w:pPr>
        <w:spacing w:after="200" w:line="276" w:lineRule="auto"/>
      </w:pPr>
      <w:r>
        <w:t>Loopring. (2022</w:t>
      </w:r>
      <w:r>
        <w:t>). Loopring smart wallet guardian system. Loopring Documentation.</w:t>
      </w:r>
    </w:p>
    <w:p w14:paraId="44BABB70" w14:textId="77777777" w:rsidR="002D0E99" w:rsidRDefault="000D329E">
      <w:pPr>
        <w:spacing w:after="200" w:line="276" w:lineRule="auto"/>
      </w:pPr>
      <w:r>
        <w:t>Loopring. (2024). Post-mortem: June 2024 security incident. Loopring Blog.</w:t>
      </w:r>
    </w:p>
    <w:p w14:paraId="4AB58131" w14:textId="77777777" w:rsidR="002D0E99" w:rsidRDefault="000D329E">
      <w:pPr>
        <w:spacing w:after="200" w:line="276" w:lineRule="auto"/>
      </w:pPr>
      <w:r>
        <w:t>NIST. (2024). Post-Quantum Cryptography Standardization. NIST Computer Security Resource Center.</w:t>
      </w:r>
    </w:p>
    <w:p w14:paraId="302A15E9" w14:textId="77777777" w:rsidR="002D0E99" w:rsidRDefault="000D329E">
      <w:pPr>
        <w:spacing w:after="200" w:line="276" w:lineRule="auto"/>
      </w:pPr>
      <w:r>
        <w:t>NIST. (2025). NIST</w:t>
      </w:r>
      <w:r>
        <w:t xml:space="preserve"> selects HQC as fifth post-quantum algorithm. NIST News.</w:t>
      </w:r>
    </w:p>
    <w:p w14:paraId="59974EB4" w14:textId="77777777" w:rsidR="002D0E99" w:rsidRDefault="000D329E">
      <w:pPr>
        <w:spacing w:after="200" w:line="276" w:lineRule="auto"/>
      </w:pPr>
      <w:r>
        <w:t>Palatinus, M., &amp; Rusnak, P. (2014). BIP-43: Purpose field for deterministic wallets. Bitcoin Improvement Proposals.</w:t>
      </w:r>
    </w:p>
    <w:p w14:paraId="1CB33F09" w14:textId="77777777" w:rsidR="002D0E99" w:rsidRDefault="000D329E">
      <w:pPr>
        <w:spacing w:after="200" w:line="276" w:lineRule="auto"/>
      </w:pPr>
      <w:r>
        <w:t>Palatinus, M., &amp; Rusnak, P. (2014). BIP-44: Multi-account hierarchy for deterministic wallets. Bitcoin Improvement Proposals.</w:t>
      </w:r>
    </w:p>
    <w:p w14:paraId="23860879" w14:textId="77777777" w:rsidR="002D0E99" w:rsidRDefault="000D329E">
      <w:pPr>
        <w:spacing w:after="200" w:line="276" w:lineRule="auto"/>
      </w:pPr>
      <w:r>
        <w:t>Palatinus, M.,</w:t>
      </w:r>
      <w:r>
        <w:t xml:space="preserve"> et al. (2013). BIP-39: Mnemonic code for generating deterministic keys. Bitcoin Improvement Proposals.</w:t>
      </w:r>
    </w:p>
    <w:p w14:paraId="67FFD961" w14:textId="77777777" w:rsidR="002D0E99" w:rsidRDefault="000D329E">
      <w:pPr>
        <w:spacing w:after="200" w:line="276" w:lineRule="auto"/>
      </w:pPr>
      <w:r>
        <w:t>Radiant Capital. (2024). October 2024 incident report. Radiant Capital Blog.</w:t>
      </w:r>
    </w:p>
    <w:p w14:paraId="5D434CC2" w14:textId="77777777" w:rsidR="002D0E99" w:rsidRDefault="000D329E">
      <w:pPr>
        <w:spacing w:after="200" w:line="276" w:lineRule="auto"/>
      </w:pPr>
      <w:r>
        <w:t>Safe. (2024). Safe smart account documentation. Safe Global.</w:t>
      </w:r>
    </w:p>
    <w:p w14:paraId="79E4853E" w14:textId="77777777" w:rsidR="002D0E99" w:rsidRDefault="000D329E">
      <w:pPr>
        <w:spacing w:after="200" w:line="276" w:lineRule="auto"/>
      </w:pPr>
      <w:r>
        <w:t>Wang, H., et a</w:t>
      </w:r>
      <w:r>
        <w:t>l. (2025). Quantum-secured blockchain framework. Scientific Reports, 15.</w:t>
      </w:r>
    </w:p>
    <w:p w14:paraId="4ED88266" w14:textId="77777777" w:rsidR="002D0E99" w:rsidRDefault="000D329E">
      <w:pPr>
        <w:spacing w:after="200" w:line="276" w:lineRule="auto"/>
      </w:pPr>
      <w:r>
        <w:t>WazirX. (2024). Security incident report: July 2024. WazirX Blog.</w:t>
      </w:r>
    </w:p>
    <w:p w14:paraId="630F6C07" w14:textId="77777777" w:rsidR="002D0E99" w:rsidRDefault="000D329E">
      <w:pPr>
        <w:spacing w:after="200" w:line="276" w:lineRule="auto"/>
      </w:pPr>
      <w:r>
        <w:t>Wuille, P. (2012). BIP-32: Hierarchical deterministic wallets. Bitcoin Improvement Proposals.</w:t>
      </w:r>
    </w:p>
    <w:p w14:paraId="61B034BD" w14:textId="77777777" w:rsidR="002D0E99" w:rsidRDefault="000D329E">
      <w:pPr>
        <w:spacing w:after="200" w:line="276" w:lineRule="auto"/>
      </w:pPr>
      <w:r>
        <w:t>Wuille, P. (2020). BIP-340: Schnorr signatures for secp256k1. Bitcoin Improvement Proposals.</w:t>
      </w:r>
    </w:p>
    <w:p w14:paraId="3FE41B97" w14:textId="77777777" w:rsidR="002D0E99" w:rsidRDefault="000D329E">
      <w:pPr>
        <w:spacing w:after="200" w:line="276" w:lineRule="auto"/>
      </w:pPr>
      <w:r>
        <w:t>Wuille, P. (2020). BIP-341: Taproot: SegWit version 1 spending rules.</w:t>
      </w:r>
      <w:r>
        <w:t xml:space="preserve"> Bitcoin Improvement Proposals.</w:t>
      </w:r>
    </w:p>
    <w:p w14:paraId="2D033D08" w14:textId="77777777" w:rsidR="002D0E99" w:rsidRDefault="000D329E">
      <w:pPr>
        <w:spacing w:after="200" w:line="276" w:lineRule="auto"/>
      </w:pPr>
      <w:r>
        <w:t>Wuille, P. (2020). BIP-342: Validation of Taproot scripts. Bitcoin Improvement Proposals.</w:t>
      </w:r>
    </w:p>
    <w:p w14:paraId="70493930" w14:textId="77777777" w:rsidR="002D0E99" w:rsidRDefault="000D329E">
      <w:pPr>
        <w:spacing w:after="200" w:line="276" w:lineRule="auto"/>
      </w:pPr>
      <w:r>
        <w:t>Yao, A. C. (1986). How to generate and exchange secrets. FOCS 1986.</w:t>
      </w:r>
    </w:p>
    <w:p w14:paraId="4423EC1C" w14:textId="77777777" w:rsidR="002D0E99" w:rsidRDefault="000D329E">
      <w:r>
        <w:br w:type="page"/>
      </w:r>
    </w:p>
    <w:p w14:paraId="3125C9CF" w14:textId="77777777" w:rsidR="002D0E99" w:rsidRDefault="000D329E">
      <w:pPr>
        <w:pStyle w:val="Heading1"/>
      </w:pPr>
      <w:bookmarkStart w:id="78" w:name="_Toc215817723"/>
      <w:r>
        <w:lastRenderedPageBreak/>
        <w:t>Bibliography</w:t>
      </w:r>
      <w:bookmarkEnd w:id="78"/>
    </w:p>
    <w:p w14:paraId="11BBE9A9" w14:textId="77777777" w:rsidR="002D0E99" w:rsidRDefault="000D329E">
      <w:pPr>
        <w:spacing w:after="200" w:line="276" w:lineRule="auto"/>
        <w:jc w:val="both"/>
      </w:pPr>
      <w:r>
        <w:t>The following resources provide supplementary infor</w:t>
      </w:r>
      <w:r>
        <w:t>mation on topics covered in this report, organized by subject area.</w:t>
      </w:r>
    </w:p>
    <w:p w14:paraId="70FFBB9A" w14:textId="77777777" w:rsidR="002D0E99" w:rsidRDefault="000D329E">
      <w:pPr>
        <w:spacing w:after="200" w:line="276" w:lineRule="auto"/>
        <w:jc w:val="both"/>
      </w:pPr>
      <w:r>
        <w:rPr>
          <w:b/>
          <w:bCs/>
        </w:rPr>
        <w:t>Foundational Cryptography and Blockchain</w:t>
      </w:r>
    </w:p>
    <w:p w14:paraId="1DCD0087" w14:textId="77777777" w:rsidR="002D0E99" w:rsidRDefault="000D329E">
      <w:pPr>
        <w:spacing w:after="200" w:line="276" w:lineRule="auto"/>
      </w:pPr>
      <w:r>
        <w:t>Nakamoto, S. (2008). Bitcoin: A Peer-to-Peer Electronic Cash System. bitcoin.org.</w:t>
      </w:r>
    </w:p>
    <w:p w14:paraId="5C99FF00" w14:textId="77777777" w:rsidR="002D0E99" w:rsidRDefault="000D329E">
      <w:pPr>
        <w:spacing w:after="200" w:line="276" w:lineRule="auto"/>
      </w:pPr>
      <w:r>
        <w:t>Katz, J., &amp; Lindell, Y. (2020). Introduction to Modern Cryptograp</w:t>
      </w:r>
      <w:r>
        <w:t>hy (3rd ed.). CRC Press.</w:t>
      </w:r>
    </w:p>
    <w:p w14:paraId="1AD8998A" w14:textId="77777777" w:rsidR="002D0E99" w:rsidRDefault="000D329E">
      <w:pPr>
        <w:spacing w:after="200" w:line="276" w:lineRule="auto"/>
      </w:pPr>
      <w:r>
        <w:t>Narayanan, A., et al. (2016). Bitcoin and Cryptocurrency Technologies. Princeton University Press.</w:t>
      </w:r>
    </w:p>
    <w:p w14:paraId="02870440" w14:textId="77777777" w:rsidR="002D0E99" w:rsidRDefault="000D329E">
      <w:pPr>
        <w:spacing w:after="200" w:line="276" w:lineRule="auto"/>
        <w:jc w:val="both"/>
      </w:pPr>
      <w:r>
        <w:rPr>
          <w:b/>
          <w:bCs/>
        </w:rPr>
        <w:t>Multi-Party Computation</w:t>
      </w:r>
    </w:p>
    <w:p w14:paraId="10BAB8CF" w14:textId="77777777" w:rsidR="002D0E99" w:rsidRDefault="000D329E">
      <w:pPr>
        <w:spacing w:after="200" w:line="276" w:lineRule="auto"/>
      </w:pPr>
      <w:r>
        <w:t>Boneh, D., &amp; Shoup, V. (2023). A Graduate Course in Applied Cryptography. Stanford University.</w:t>
      </w:r>
    </w:p>
    <w:p w14:paraId="6650A176" w14:textId="77777777" w:rsidR="002D0E99" w:rsidRDefault="000D329E">
      <w:pPr>
        <w:spacing w:after="200" w:line="276" w:lineRule="auto"/>
      </w:pPr>
      <w:r>
        <w:t>Lindell, Y. (</w:t>
      </w:r>
      <w:r>
        <w:t>2020). Secure Multiparty Computation (MPC). Communications of the ACM.</w:t>
      </w:r>
    </w:p>
    <w:p w14:paraId="3E4F088E" w14:textId="77777777" w:rsidR="002D0E99" w:rsidRDefault="000D329E">
      <w:pPr>
        <w:spacing w:after="200" w:line="276" w:lineRule="auto"/>
      </w:pPr>
      <w:r>
        <w:t>Canetti, R. (2001). Universally Composable Security: A New Paradigm for Cryptographic Protocols. FOCS 2001.</w:t>
      </w:r>
    </w:p>
    <w:p w14:paraId="7907FD82" w14:textId="77777777" w:rsidR="002D0E99" w:rsidRDefault="000D329E">
      <w:pPr>
        <w:spacing w:after="200" w:line="276" w:lineRule="auto"/>
        <w:jc w:val="both"/>
      </w:pPr>
      <w:r>
        <w:rPr>
          <w:b/>
          <w:bCs/>
        </w:rPr>
        <w:t>Ethereum and Smart Contracts</w:t>
      </w:r>
    </w:p>
    <w:p w14:paraId="429560D5" w14:textId="77777777" w:rsidR="002D0E99" w:rsidRDefault="000D329E">
      <w:pPr>
        <w:spacing w:after="200" w:line="276" w:lineRule="auto"/>
      </w:pPr>
      <w:r>
        <w:t>Buterin, V. (2014). Ethereum White Paper: A Next</w:t>
      </w:r>
      <w:r>
        <w:t>-Generation Smart Contract and Decentralized Application Platform. ethereum.org.</w:t>
      </w:r>
    </w:p>
    <w:p w14:paraId="77B0A7EA" w14:textId="77777777" w:rsidR="002D0E99" w:rsidRDefault="000D329E">
      <w:pPr>
        <w:spacing w:after="200" w:line="276" w:lineRule="auto"/>
      </w:pPr>
      <w:r>
        <w:t>Wood, G. (2014). Ethereum: A Secure Decentralised Generalised Transaction Ledger. Ethereum Yellow Paper.</w:t>
      </w:r>
    </w:p>
    <w:p w14:paraId="4F26A25C" w14:textId="77777777" w:rsidR="002D0E99" w:rsidRDefault="000D329E">
      <w:pPr>
        <w:spacing w:after="200" w:line="276" w:lineRule="auto"/>
      </w:pPr>
      <w:r>
        <w:t>Antonopoulos, A. M., &amp; Wood, G. (2018). Mastering Ethereum. O'Reilly M</w:t>
      </w:r>
      <w:r>
        <w:t>edia.</w:t>
      </w:r>
    </w:p>
    <w:p w14:paraId="182F820F" w14:textId="77777777" w:rsidR="002D0E99" w:rsidRDefault="000D329E">
      <w:pPr>
        <w:spacing w:after="200" w:line="276" w:lineRule="auto"/>
        <w:jc w:val="both"/>
      </w:pPr>
      <w:r>
        <w:rPr>
          <w:b/>
          <w:bCs/>
        </w:rPr>
        <w:t>Hardware Security</w:t>
      </w:r>
    </w:p>
    <w:p w14:paraId="719D3CBB" w14:textId="77777777" w:rsidR="002D0E99" w:rsidRDefault="000D329E">
      <w:pPr>
        <w:spacing w:after="200" w:line="276" w:lineRule="auto"/>
      </w:pPr>
      <w:r>
        <w:t>Anderson, R. (2020). Security Engineering: A Guide to Building Dependable Distributed Systems (3rd ed.). Wiley.</w:t>
      </w:r>
    </w:p>
    <w:p w14:paraId="382FD67C" w14:textId="77777777" w:rsidR="002D0E99" w:rsidRDefault="000D329E">
      <w:pPr>
        <w:spacing w:after="200" w:line="276" w:lineRule="auto"/>
      </w:pPr>
      <w:r>
        <w:t>Common Criteria. (2022). Common Criteria for Information Technology Security Evaluation. ISO/IEC 15408.</w:t>
      </w:r>
    </w:p>
    <w:p w14:paraId="1E4412F7" w14:textId="77777777" w:rsidR="002D0E99" w:rsidRDefault="000D329E">
      <w:pPr>
        <w:spacing w:after="200" w:line="276" w:lineRule="auto"/>
        <w:jc w:val="both"/>
      </w:pPr>
      <w:r>
        <w:rPr>
          <w:b/>
          <w:bCs/>
        </w:rPr>
        <w:t>Post-Quantum Cryptography</w:t>
      </w:r>
    </w:p>
    <w:p w14:paraId="34983EE2" w14:textId="77777777" w:rsidR="002D0E99" w:rsidRDefault="000D329E">
      <w:pPr>
        <w:spacing w:after="200" w:line="276" w:lineRule="auto"/>
      </w:pPr>
      <w:r>
        <w:t>Bernstein, D. J., &amp; Lange, T. (2017). Post-quantum cryptography. Nature, 549(7671).</w:t>
      </w:r>
    </w:p>
    <w:p w14:paraId="4FB143EF" w14:textId="77777777" w:rsidR="002D0E99" w:rsidRDefault="000D329E">
      <w:pPr>
        <w:spacing w:after="200" w:line="276" w:lineRule="auto"/>
      </w:pPr>
      <w:r>
        <w:t>NIST. (2024). Post-Quantum Cryptography: D</w:t>
      </w:r>
      <w:r>
        <w:t>igital Signature Schemes. NIST SP 800-208.</w:t>
      </w:r>
    </w:p>
    <w:p w14:paraId="5E880DE0" w14:textId="77777777" w:rsidR="002D0E99" w:rsidRDefault="000D329E">
      <w:pPr>
        <w:spacing w:after="200" w:line="276" w:lineRule="auto"/>
      </w:pPr>
      <w:r>
        <w:t>Mosca, M. (2018). Cybersecurity in an era with quantum computers. IEEE Security &amp; Privacy.</w:t>
      </w:r>
    </w:p>
    <w:p w14:paraId="2489335A" w14:textId="77777777" w:rsidR="002D0E99" w:rsidRDefault="000D329E">
      <w:pPr>
        <w:spacing w:after="200" w:line="276" w:lineRule="auto"/>
        <w:jc w:val="both"/>
      </w:pPr>
      <w:r>
        <w:rPr>
          <w:b/>
          <w:bCs/>
        </w:rPr>
        <w:lastRenderedPageBreak/>
        <w:t>Wallet Security Research</w:t>
      </w:r>
    </w:p>
    <w:p w14:paraId="3E83C987" w14:textId="77777777" w:rsidR="002D0E99" w:rsidRDefault="000D329E">
      <w:pPr>
        <w:spacing w:after="200" w:line="276" w:lineRule="auto"/>
      </w:pPr>
      <w:r>
        <w:t>Eskandari, S., et al. (2018). A first look at browser-based cryptojacking. IEEE European Symposiu</w:t>
      </w:r>
      <w:r>
        <w:t>m on Security and Privacy.</w:t>
      </w:r>
    </w:p>
    <w:p w14:paraId="60D724F8" w14:textId="77777777" w:rsidR="002D0E99" w:rsidRDefault="000D329E">
      <w:pPr>
        <w:spacing w:after="200" w:line="276" w:lineRule="auto"/>
      </w:pPr>
      <w:r>
        <w:t>Vasek, M., &amp; Moore, T. (2015). There's no free lunch, even using Bitcoin. Financial Cryptography and Data Security.</w:t>
      </w:r>
    </w:p>
    <w:p w14:paraId="38B231A2" w14:textId="77777777" w:rsidR="002D0E99" w:rsidRDefault="000D329E">
      <w:r>
        <w:br w:type="page"/>
      </w:r>
    </w:p>
    <w:p w14:paraId="2726F124" w14:textId="77777777" w:rsidR="002D0E99" w:rsidRDefault="000D329E">
      <w:pPr>
        <w:pStyle w:val="Heading1"/>
      </w:pPr>
      <w:bookmarkStart w:id="79" w:name="_Toc215817724"/>
      <w:r>
        <w:lastRenderedPageBreak/>
        <w:t>Appendix A: Technical Glossary</w:t>
      </w:r>
      <w:bookmarkEnd w:id="79"/>
    </w:p>
    <w:p w14:paraId="1BFDAB07" w14:textId="77777777" w:rsidR="002D0E99" w:rsidRDefault="000D329E">
      <w:pPr>
        <w:spacing w:after="200" w:line="276" w:lineRule="auto"/>
        <w:jc w:val="both"/>
      </w:pPr>
      <w:r>
        <w:rPr>
          <w:b/>
          <w:bCs/>
        </w:rPr>
        <w:t>Account Abstraction</w:t>
      </w:r>
    </w:p>
    <w:p w14:paraId="6D96E0D1" w14:textId="77777777" w:rsidR="002D0E99" w:rsidRDefault="000D329E">
      <w:pPr>
        <w:spacing w:after="200" w:line="276" w:lineRule="auto"/>
        <w:jc w:val="both"/>
      </w:pPr>
      <w:r>
        <w:t>A blockchain architecture modification enabling smart contra</w:t>
      </w:r>
      <w:r>
        <w:t>cts to initiate transactions without requiring externally owned accounts as intermediaries.</w:t>
      </w:r>
    </w:p>
    <w:p w14:paraId="503B9162" w14:textId="77777777" w:rsidR="002D0E99" w:rsidRDefault="000D329E">
      <w:pPr>
        <w:spacing w:after="200" w:line="276" w:lineRule="auto"/>
        <w:jc w:val="both"/>
      </w:pPr>
      <w:r>
        <w:rPr>
          <w:b/>
          <w:bCs/>
        </w:rPr>
        <w:t>BIP (Bitcoin Improvement Proposal)</w:t>
      </w:r>
    </w:p>
    <w:p w14:paraId="18454654" w14:textId="77777777" w:rsidR="002D0E99" w:rsidRDefault="000D329E">
      <w:pPr>
        <w:spacing w:after="200" w:line="276" w:lineRule="auto"/>
        <w:jc w:val="both"/>
      </w:pPr>
      <w:r>
        <w:t>The formal process for proposing changes to Bitcoin protocol, analogous to Internet RFCs or Python PEPs.</w:t>
      </w:r>
    </w:p>
    <w:p w14:paraId="34A7C34E" w14:textId="77777777" w:rsidR="002D0E99" w:rsidRDefault="000D329E">
      <w:pPr>
        <w:spacing w:after="200" w:line="276" w:lineRule="auto"/>
        <w:jc w:val="both"/>
      </w:pPr>
      <w:r>
        <w:rPr>
          <w:b/>
          <w:bCs/>
        </w:rPr>
        <w:t>Chain Code</w:t>
      </w:r>
    </w:p>
    <w:p w14:paraId="22FC696B" w14:textId="77777777" w:rsidR="002D0E99" w:rsidRDefault="000D329E">
      <w:pPr>
        <w:spacing w:after="200" w:line="276" w:lineRule="auto"/>
        <w:jc w:val="both"/>
      </w:pPr>
      <w:r>
        <w:t>A 256-bit val</w:t>
      </w:r>
      <w:r>
        <w:t>ue used in HD wallet derivation alongside keys, enabling deterministic child key generation.</w:t>
      </w:r>
    </w:p>
    <w:p w14:paraId="4864FECB" w14:textId="77777777" w:rsidR="002D0E99" w:rsidRDefault="000D329E">
      <w:pPr>
        <w:spacing w:after="200" w:line="276" w:lineRule="auto"/>
        <w:jc w:val="both"/>
      </w:pPr>
      <w:r>
        <w:rPr>
          <w:b/>
          <w:bCs/>
        </w:rPr>
        <w:t>Child Key Derivation (CKD)</w:t>
      </w:r>
    </w:p>
    <w:p w14:paraId="658F922D" w14:textId="77777777" w:rsidR="002D0E99" w:rsidRDefault="000D329E">
      <w:pPr>
        <w:spacing w:after="200" w:line="276" w:lineRule="auto"/>
        <w:jc w:val="both"/>
      </w:pPr>
      <w:r>
        <w:t>The function specified in BIP-32 that produces child keys from parent keys and chain codes.</w:t>
      </w:r>
    </w:p>
    <w:p w14:paraId="4FE7BFC8" w14:textId="77777777" w:rsidR="002D0E99" w:rsidRDefault="000D329E">
      <w:pPr>
        <w:spacing w:after="200" w:line="276" w:lineRule="auto"/>
        <w:jc w:val="both"/>
      </w:pPr>
      <w:r>
        <w:rPr>
          <w:b/>
          <w:bCs/>
        </w:rPr>
        <w:t>Common Criteria</w:t>
      </w:r>
    </w:p>
    <w:p w14:paraId="08B54A08" w14:textId="77777777" w:rsidR="002D0E99" w:rsidRDefault="000D329E">
      <w:pPr>
        <w:spacing w:after="200" w:line="276" w:lineRule="auto"/>
        <w:jc w:val="both"/>
      </w:pPr>
      <w:r>
        <w:t>The international standard (</w:t>
      </w:r>
      <w:r>
        <w:t>ISO/IEC 15408) for computer security certification, defining Evaluation Assurance Levels 1-7.</w:t>
      </w:r>
    </w:p>
    <w:p w14:paraId="2DE5B760" w14:textId="77777777" w:rsidR="002D0E99" w:rsidRDefault="000D329E">
      <w:pPr>
        <w:spacing w:after="200" w:line="276" w:lineRule="auto"/>
        <w:jc w:val="both"/>
      </w:pPr>
      <w:r>
        <w:rPr>
          <w:b/>
          <w:bCs/>
        </w:rPr>
        <w:t>Deterministic Wallet</w:t>
      </w:r>
    </w:p>
    <w:p w14:paraId="60B8A6A1" w14:textId="77777777" w:rsidR="002D0E99" w:rsidRDefault="000D329E">
      <w:pPr>
        <w:spacing w:after="200" w:line="276" w:lineRule="auto"/>
        <w:jc w:val="both"/>
      </w:pPr>
      <w:r>
        <w:t>A wallet deriving all keys from a single seed, enabling complete reconstruction from a single backup.</w:t>
      </w:r>
    </w:p>
    <w:p w14:paraId="26DD56A4" w14:textId="77777777" w:rsidR="002D0E99" w:rsidRDefault="000D329E">
      <w:pPr>
        <w:spacing w:after="200" w:line="276" w:lineRule="auto"/>
        <w:jc w:val="both"/>
      </w:pPr>
      <w:r>
        <w:rPr>
          <w:b/>
          <w:bCs/>
        </w:rPr>
        <w:t>EAL (Evaluation Assurance Level)</w:t>
      </w:r>
    </w:p>
    <w:p w14:paraId="1451977D" w14:textId="77777777" w:rsidR="002D0E99" w:rsidRDefault="000D329E">
      <w:pPr>
        <w:spacing w:after="200" w:line="276" w:lineRule="auto"/>
        <w:jc w:val="both"/>
      </w:pPr>
      <w:r>
        <w:t>Common Criteria certification levels indicating security evaluation rigor, ranging from EAL1 (functional testing) to EAL7</w:t>
      </w:r>
      <w:r>
        <w:t xml:space="preserve"> (formally verified design).</w:t>
      </w:r>
    </w:p>
    <w:p w14:paraId="192D5BF2" w14:textId="77777777" w:rsidR="002D0E99" w:rsidRDefault="000D329E">
      <w:pPr>
        <w:spacing w:after="200" w:line="276" w:lineRule="auto"/>
        <w:jc w:val="both"/>
      </w:pPr>
      <w:r>
        <w:rPr>
          <w:b/>
          <w:bCs/>
        </w:rPr>
        <w:t>ECDSA (Elliptic Curve Digital Signature Algorithm)</w:t>
      </w:r>
    </w:p>
    <w:p w14:paraId="7C2D1BF7" w14:textId="77777777" w:rsidR="002D0E99" w:rsidRDefault="000D329E">
      <w:pPr>
        <w:spacing w:after="200" w:line="276" w:lineRule="auto"/>
        <w:jc w:val="both"/>
      </w:pPr>
      <w:r>
        <w:t>The digital signature algorithm used by Bitcoin and Ethereum prior to Taproot, based on elliptic curve cryptography over secp256k1.</w:t>
      </w:r>
    </w:p>
    <w:p w14:paraId="6996D6C0" w14:textId="77777777" w:rsidR="002D0E99" w:rsidRDefault="000D329E">
      <w:pPr>
        <w:spacing w:after="200" w:line="276" w:lineRule="auto"/>
        <w:jc w:val="both"/>
      </w:pPr>
      <w:r>
        <w:rPr>
          <w:b/>
          <w:bCs/>
        </w:rPr>
        <w:t>EntryPoint</w:t>
      </w:r>
    </w:p>
    <w:p w14:paraId="5AB9860D" w14:textId="77777777" w:rsidR="002D0E99" w:rsidRDefault="000D329E">
      <w:pPr>
        <w:spacing w:after="200" w:line="276" w:lineRule="auto"/>
        <w:jc w:val="both"/>
      </w:pPr>
      <w:r>
        <w:t>The singleton smart contract serving as the entry point for ERC-4337 UserOperation execution.</w:t>
      </w:r>
    </w:p>
    <w:p w14:paraId="1A5875B2" w14:textId="77777777" w:rsidR="002D0E99" w:rsidRDefault="000D329E">
      <w:pPr>
        <w:spacing w:after="200" w:line="276" w:lineRule="auto"/>
        <w:jc w:val="both"/>
      </w:pPr>
      <w:r>
        <w:rPr>
          <w:b/>
          <w:bCs/>
        </w:rPr>
        <w:t>Extended Key</w:t>
      </w:r>
    </w:p>
    <w:p w14:paraId="4EA7E064" w14:textId="77777777" w:rsidR="002D0E99" w:rsidRDefault="000D329E">
      <w:pPr>
        <w:spacing w:after="200" w:line="276" w:lineRule="auto"/>
        <w:jc w:val="both"/>
      </w:pPr>
      <w:r>
        <w:t xml:space="preserve">A key </w:t>
      </w:r>
      <w:r>
        <w:t>combined with its chain code, denoted xprv (private) or xpub (public), enabling HD wallet derivation.</w:t>
      </w:r>
    </w:p>
    <w:p w14:paraId="1958350C" w14:textId="77777777" w:rsidR="002D0E99" w:rsidRDefault="000D329E">
      <w:pPr>
        <w:spacing w:after="200" w:line="276" w:lineRule="auto"/>
        <w:jc w:val="both"/>
      </w:pPr>
      <w:r>
        <w:rPr>
          <w:b/>
          <w:bCs/>
        </w:rPr>
        <w:t>FROST (Flexible Round-Optimized Schnorr Threshold signatures)</w:t>
      </w:r>
    </w:p>
    <w:p w14:paraId="67F7C33B" w14:textId="77777777" w:rsidR="002D0E99" w:rsidRDefault="000D329E">
      <w:pPr>
        <w:spacing w:after="200" w:line="276" w:lineRule="auto"/>
        <w:jc w:val="both"/>
      </w:pPr>
      <w:r>
        <w:lastRenderedPageBreak/>
        <w:t>A two-round threshold signature protocol for Schnorr signatures, enabling distributed signin</w:t>
      </w:r>
      <w:r>
        <w:t>g without trusted dealers.</w:t>
      </w:r>
    </w:p>
    <w:p w14:paraId="27099F47" w14:textId="77777777" w:rsidR="002D0E99" w:rsidRDefault="000D329E">
      <w:pPr>
        <w:spacing w:after="200" w:line="276" w:lineRule="auto"/>
        <w:jc w:val="both"/>
      </w:pPr>
      <w:r>
        <w:rPr>
          <w:b/>
          <w:bCs/>
        </w:rPr>
        <w:t>Guardian</w:t>
      </w:r>
    </w:p>
    <w:p w14:paraId="37302F66" w14:textId="77777777" w:rsidR="002D0E99" w:rsidRDefault="000D329E">
      <w:pPr>
        <w:spacing w:after="200" w:line="276" w:lineRule="auto"/>
        <w:jc w:val="both"/>
      </w:pPr>
      <w:r>
        <w:t>In social recovery systems, a trusted party authorized to participate in wallet recovery procedures.</w:t>
      </w:r>
    </w:p>
    <w:p w14:paraId="4E973645" w14:textId="77777777" w:rsidR="002D0E99" w:rsidRDefault="000D329E">
      <w:pPr>
        <w:spacing w:after="200" w:line="276" w:lineRule="auto"/>
        <w:jc w:val="both"/>
      </w:pPr>
      <w:r>
        <w:rPr>
          <w:b/>
          <w:bCs/>
        </w:rPr>
        <w:t>Hardened Derivation</w:t>
      </w:r>
    </w:p>
    <w:p w14:paraId="1A09C338" w14:textId="77777777" w:rsidR="002D0E99" w:rsidRDefault="000D329E">
      <w:pPr>
        <w:spacing w:after="200" w:line="276" w:lineRule="auto"/>
        <w:jc w:val="both"/>
      </w:pPr>
      <w:r>
        <w:t>HD wallet derivation incorporating the parent private key, preventing public key derivation chains.</w:t>
      </w:r>
    </w:p>
    <w:p w14:paraId="03930022" w14:textId="77777777" w:rsidR="002D0E99" w:rsidRDefault="000D329E">
      <w:pPr>
        <w:spacing w:after="200" w:line="276" w:lineRule="auto"/>
        <w:jc w:val="both"/>
      </w:pPr>
      <w:r>
        <w:rPr>
          <w:b/>
          <w:bCs/>
        </w:rPr>
        <w:t>HD Wallet (Hierarchical Deterministic Wallet)</w:t>
      </w:r>
    </w:p>
    <w:p w14:paraId="3978C216" w14:textId="77777777" w:rsidR="002D0E99" w:rsidRDefault="000D329E">
      <w:pPr>
        <w:spacing w:after="200" w:line="276" w:lineRule="auto"/>
        <w:jc w:val="both"/>
      </w:pPr>
      <w:r>
        <w:t>A wallet organizing derived keys in tree structures, specified in BIP-32.</w:t>
      </w:r>
    </w:p>
    <w:p w14:paraId="68BAA67F" w14:textId="77777777" w:rsidR="002D0E99" w:rsidRDefault="000D329E">
      <w:pPr>
        <w:spacing w:after="200" w:line="276" w:lineRule="auto"/>
        <w:jc w:val="both"/>
      </w:pPr>
      <w:r>
        <w:rPr>
          <w:b/>
          <w:bCs/>
        </w:rPr>
        <w:t>MAST (Merkelized Alternative Script Tree)</w:t>
      </w:r>
    </w:p>
    <w:p w14:paraId="5B92548A" w14:textId="77777777" w:rsidR="002D0E99" w:rsidRDefault="000D329E">
      <w:pPr>
        <w:spacing w:after="200" w:line="276" w:lineRule="auto"/>
        <w:jc w:val="both"/>
      </w:pPr>
      <w:r>
        <w:t>A Taproot construction enabling complex scripts while revealing only the executed spending pa</w:t>
      </w:r>
      <w:r>
        <w:t>th.</w:t>
      </w:r>
    </w:p>
    <w:p w14:paraId="17C21C62" w14:textId="77777777" w:rsidR="002D0E99" w:rsidRDefault="000D329E">
      <w:pPr>
        <w:spacing w:after="200" w:line="276" w:lineRule="auto"/>
        <w:jc w:val="both"/>
      </w:pPr>
      <w:r>
        <w:rPr>
          <w:b/>
          <w:bCs/>
        </w:rPr>
        <w:t>Mnemonic</w:t>
      </w:r>
    </w:p>
    <w:p w14:paraId="0CC7A4CF" w14:textId="77777777" w:rsidR="002D0E99" w:rsidRDefault="000D329E">
      <w:pPr>
        <w:spacing w:after="200" w:line="276" w:lineRule="auto"/>
        <w:jc w:val="both"/>
      </w:pPr>
      <w:r>
        <w:t>A sequence of words encoding wallet seed data, specified in BIP-39.</w:t>
      </w:r>
    </w:p>
    <w:p w14:paraId="620A5E6E" w14:textId="77777777" w:rsidR="002D0E99" w:rsidRDefault="000D329E">
      <w:pPr>
        <w:spacing w:after="200" w:line="276" w:lineRule="auto"/>
        <w:jc w:val="both"/>
      </w:pPr>
      <w:r>
        <w:rPr>
          <w:b/>
          <w:bCs/>
        </w:rPr>
        <w:t>MPC (Multi-Party Computation)</w:t>
      </w:r>
    </w:p>
    <w:p w14:paraId="42D59BDF" w14:textId="77777777" w:rsidR="002D0E99" w:rsidRDefault="000D329E">
      <w:pPr>
        <w:spacing w:after="200" w:line="276" w:lineRule="auto"/>
        <w:jc w:val="both"/>
      </w:pPr>
      <w:r>
        <w:t>Cryptographic protocols enabling joint computation over private inputs without revealing those inputs.</w:t>
      </w:r>
    </w:p>
    <w:p w14:paraId="17C981CC" w14:textId="77777777" w:rsidR="002D0E99" w:rsidRDefault="000D329E">
      <w:pPr>
        <w:spacing w:after="200" w:line="276" w:lineRule="auto"/>
        <w:jc w:val="both"/>
      </w:pPr>
      <w:r>
        <w:rPr>
          <w:b/>
          <w:bCs/>
        </w:rPr>
        <w:t>Multisignature (Multisig)</w:t>
      </w:r>
    </w:p>
    <w:p w14:paraId="28852309" w14:textId="77777777" w:rsidR="002D0E99" w:rsidRDefault="000D329E">
      <w:pPr>
        <w:spacing w:after="200" w:line="276" w:lineRule="auto"/>
        <w:jc w:val="both"/>
      </w:pPr>
      <w:r>
        <w:t>Transaction auth</w:t>
      </w:r>
      <w:r>
        <w:t>orization requiring multiple signatures, typically M-of-N configurations.</w:t>
      </w:r>
    </w:p>
    <w:p w14:paraId="169DE564" w14:textId="77777777" w:rsidR="002D0E99" w:rsidRDefault="000D329E">
      <w:pPr>
        <w:spacing w:after="200" w:line="276" w:lineRule="auto"/>
        <w:jc w:val="both"/>
      </w:pPr>
      <w:r>
        <w:rPr>
          <w:b/>
          <w:bCs/>
        </w:rPr>
        <w:t>P2TR (Pay-to-Taproot)</w:t>
      </w:r>
    </w:p>
    <w:p w14:paraId="4275EDFE" w14:textId="77777777" w:rsidR="002D0E99" w:rsidRDefault="000D329E">
      <w:pPr>
        <w:spacing w:after="200" w:line="276" w:lineRule="auto"/>
        <w:jc w:val="both"/>
      </w:pPr>
      <w:r>
        <w:t>The Taproot output type enabling Schnorr key-path or script-path spending.</w:t>
      </w:r>
    </w:p>
    <w:p w14:paraId="4137F9BF" w14:textId="77777777" w:rsidR="002D0E99" w:rsidRDefault="000D329E">
      <w:pPr>
        <w:spacing w:after="200" w:line="276" w:lineRule="auto"/>
        <w:jc w:val="both"/>
      </w:pPr>
      <w:r>
        <w:rPr>
          <w:b/>
          <w:bCs/>
        </w:rPr>
        <w:t>Paymaster</w:t>
      </w:r>
    </w:p>
    <w:p w14:paraId="1B74F160" w14:textId="77777777" w:rsidR="002D0E99" w:rsidRDefault="000D329E">
      <w:pPr>
        <w:spacing w:after="200" w:line="276" w:lineRule="auto"/>
        <w:jc w:val="both"/>
      </w:pPr>
      <w:r>
        <w:t>In ERC-4337, a contract sponsoring gas fees for UserOperations.</w:t>
      </w:r>
    </w:p>
    <w:p w14:paraId="705CB34F" w14:textId="77777777" w:rsidR="002D0E99" w:rsidRDefault="000D329E">
      <w:pPr>
        <w:spacing w:after="200" w:line="276" w:lineRule="auto"/>
        <w:jc w:val="both"/>
      </w:pPr>
      <w:r>
        <w:rPr>
          <w:b/>
          <w:bCs/>
        </w:rPr>
        <w:t>Post-Quantu</w:t>
      </w:r>
      <w:r>
        <w:rPr>
          <w:b/>
          <w:bCs/>
        </w:rPr>
        <w:t>m Cryptography</w:t>
      </w:r>
    </w:p>
    <w:p w14:paraId="2F57C9D2" w14:textId="77777777" w:rsidR="002D0E99" w:rsidRDefault="000D329E">
      <w:pPr>
        <w:spacing w:after="200" w:line="276" w:lineRule="auto"/>
        <w:jc w:val="both"/>
      </w:pPr>
      <w:r>
        <w:t>Cryptographic algorithms resistant to attacks by quantum computers.</w:t>
      </w:r>
    </w:p>
    <w:p w14:paraId="55E65B53" w14:textId="77777777" w:rsidR="002D0E99" w:rsidRDefault="000D329E">
      <w:pPr>
        <w:spacing w:after="200" w:line="276" w:lineRule="auto"/>
        <w:jc w:val="both"/>
      </w:pPr>
      <w:r>
        <w:rPr>
          <w:b/>
          <w:bCs/>
        </w:rPr>
        <w:t>Schnorr Signature</w:t>
      </w:r>
    </w:p>
    <w:p w14:paraId="014A576C" w14:textId="77777777" w:rsidR="002D0E99" w:rsidRDefault="000D329E">
      <w:pPr>
        <w:spacing w:after="200" w:line="276" w:lineRule="auto"/>
        <w:jc w:val="both"/>
      </w:pPr>
      <w:r>
        <w:t>A digital signature scheme with provable security and linear aggregation properties, specified in BIP-340.</w:t>
      </w:r>
    </w:p>
    <w:p w14:paraId="1C087CAA" w14:textId="77777777" w:rsidR="002D0E99" w:rsidRDefault="000D329E">
      <w:pPr>
        <w:spacing w:after="200" w:line="276" w:lineRule="auto"/>
        <w:jc w:val="both"/>
      </w:pPr>
      <w:r>
        <w:rPr>
          <w:b/>
          <w:bCs/>
        </w:rPr>
        <w:lastRenderedPageBreak/>
        <w:t>Secure Element</w:t>
      </w:r>
    </w:p>
    <w:p w14:paraId="0CA3429B" w14:textId="77777777" w:rsidR="002D0E99" w:rsidRDefault="000D329E">
      <w:pPr>
        <w:spacing w:after="200" w:line="276" w:lineRule="auto"/>
        <w:jc w:val="both"/>
      </w:pPr>
      <w:r>
        <w:t>A tamper-resistant hardware chip designed to resist physical and side-channel attacks.</w:t>
      </w:r>
    </w:p>
    <w:p w14:paraId="6E3EDFCD" w14:textId="77777777" w:rsidR="002D0E99" w:rsidRDefault="000D329E">
      <w:pPr>
        <w:spacing w:after="200" w:line="276" w:lineRule="auto"/>
        <w:jc w:val="both"/>
      </w:pPr>
      <w:r>
        <w:rPr>
          <w:b/>
          <w:bCs/>
        </w:rPr>
        <w:t>Social Recovery</w:t>
      </w:r>
    </w:p>
    <w:p w14:paraId="7D1CB976" w14:textId="77777777" w:rsidR="002D0E99" w:rsidRDefault="000D329E">
      <w:pPr>
        <w:spacing w:after="200" w:line="276" w:lineRule="auto"/>
        <w:jc w:val="both"/>
      </w:pPr>
      <w:r>
        <w:t>A wallet recovery mechanism usi</w:t>
      </w:r>
      <w:r>
        <w:t>ng trusted guardians rather than seed phrase backup.</w:t>
      </w:r>
    </w:p>
    <w:p w14:paraId="5203E15F" w14:textId="77777777" w:rsidR="002D0E99" w:rsidRDefault="000D329E">
      <w:pPr>
        <w:spacing w:after="200" w:line="276" w:lineRule="auto"/>
        <w:jc w:val="both"/>
      </w:pPr>
      <w:r>
        <w:rPr>
          <w:b/>
          <w:bCs/>
        </w:rPr>
        <w:t>Taproot</w:t>
      </w:r>
    </w:p>
    <w:p w14:paraId="79E9DCF0" w14:textId="77777777" w:rsidR="002D0E99" w:rsidRDefault="000D329E">
      <w:pPr>
        <w:spacing w:after="200" w:line="276" w:lineRule="auto"/>
        <w:jc w:val="both"/>
      </w:pPr>
      <w:r>
        <w:t>Bitcoin's November 2021 soft fork introducing Schnorr signatures and MAST.</w:t>
      </w:r>
    </w:p>
    <w:p w14:paraId="1BCDE4D1" w14:textId="77777777" w:rsidR="002D0E99" w:rsidRDefault="000D329E">
      <w:pPr>
        <w:spacing w:after="200" w:line="276" w:lineRule="auto"/>
        <w:jc w:val="both"/>
      </w:pPr>
      <w:r>
        <w:rPr>
          <w:b/>
          <w:bCs/>
        </w:rPr>
        <w:t>Tapscript</w:t>
      </w:r>
    </w:p>
    <w:p w14:paraId="44CFE2B1" w14:textId="77777777" w:rsidR="002D0E99" w:rsidRDefault="000D329E">
      <w:pPr>
        <w:spacing w:after="200" w:line="276" w:lineRule="auto"/>
        <w:jc w:val="both"/>
      </w:pPr>
      <w:r>
        <w:t>The updated Bitcoin scripting language for Taproot script-path spends.</w:t>
      </w:r>
    </w:p>
    <w:p w14:paraId="7638860D" w14:textId="77777777" w:rsidR="002D0E99" w:rsidRDefault="000D329E">
      <w:pPr>
        <w:spacing w:after="200" w:line="276" w:lineRule="auto"/>
        <w:jc w:val="both"/>
      </w:pPr>
      <w:r>
        <w:rPr>
          <w:b/>
          <w:bCs/>
        </w:rPr>
        <w:t>Threshold Signature</w:t>
      </w:r>
    </w:p>
    <w:p w14:paraId="717B942F" w14:textId="77777777" w:rsidR="002D0E99" w:rsidRDefault="000D329E">
      <w:pPr>
        <w:spacing w:after="200" w:line="276" w:lineRule="auto"/>
        <w:jc w:val="both"/>
      </w:pPr>
      <w:r>
        <w:t xml:space="preserve">A signature scheme </w:t>
      </w:r>
      <w:r>
        <w:t>requiring cooperation of t parties from a set of n to produce valid signatures.</w:t>
      </w:r>
    </w:p>
    <w:p w14:paraId="2CF0CBD5" w14:textId="77777777" w:rsidR="002D0E99" w:rsidRDefault="000D329E">
      <w:pPr>
        <w:spacing w:after="200" w:line="276" w:lineRule="auto"/>
        <w:jc w:val="both"/>
      </w:pPr>
      <w:r>
        <w:rPr>
          <w:b/>
          <w:bCs/>
        </w:rPr>
        <w:t>UserOperation</w:t>
      </w:r>
    </w:p>
    <w:p w14:paraId="2CC86E7D" w14:textId="77777777" w:rsidR="002D0E99" w:rsidRDefault="000D329E">
      <w:pPr>
        <w:spacing w:after="200" w:line="276" w:lineRule="auto"/>
        <w:jc w:val="both"/>
      </w:pPr>
      <w:r>
        <w:t>In ERC-4337, a pseudo-transaction object submitted to the alternative mempool.</w:t>
      </w:r>
    </w:p>
    <w:p w14:paraId="20438F86" w14:textId="77777777" w:rsidR="002D0E99" w:rsidRDefault="000D329E">
      <w:r>
        <w:br w:type="page"/>
      </w:r>
    </w:p>
    <w:p w14:paraId="5AE5C08D" w14:textId="77777777" w:rsidR="002D0E99" w:rsidRDefault="000D329E">
      <w:pPr>
        <w:pStyle w:val="Heading1"/>
      </w:pPr>
      <w:bookmarkStart w:id="80" w:name="_Toc215817725"/>
      <w:r>
        <w:lastRenderedPageBreak/>
        <w:t>Appendix B: BIP-32 Key Derivation Example</w:t>
      </w:r>
      <w:bookmarkEnd w:id="80"/>
    </w:p>
    <w:p w14:paraId="3B18B5E4" w14:textId="77777777" w:rsidR="002D0E99" w:rsidRDefault="000D329E">
      <w:pPr>
        <w:spacing w:after="200" w:line="276" w:lineRule="auto"/>
        <w:jc w:val="both"/>
      </w:pPr>
      <w:r>
        <w:t>This appendix provides a worked example of hierarchical deterministic key derivation following BIP-32 and BIP-44 specifications.</w:t>
      </w:r>
    </w:p>
    <w:p w14:paraId="3E06CF69" w14:textId="77777777" w:rsidR="002D0E99" w:rsidRDefault="000D329E">
      <w:pPr>
        <w:spacing w:after="200" w:line="276" w:lineRule="auto"/>
        <w:jc w:val="both"/>
      </w:pPr>
      <w:r>
        <w:rPr>
          <w:b/>
          <w:bCs/>
        </w:rPr>
        <w:t>Step 1: Seed Generation from Mnemonic (BIP-39)</w:t>
      </w:r>
    </w:p>
    <w:p w14:paraId="264FB1FC" w14:textId="77777777" w:rsidR="002D0E99" w:rsidRDefault="000D329E">
      <w:pPr>
        <w:spacing w:after="200" w:line="276" w:lineRule="auto"/>
        <w:jc w:val="both"/>
      </w:pPr>
      <w:r>
        <w:t>Mnemonic: abandon abandon abandon aban</w:t>
      </w:r>
      <w:r>
        <w:t>don abandon abandon abandon abandon abandon abandon abandon about</w:t>
      </w:r>
    </w:p>
    <w:p w14:paraId="5A6BC4EC" w14:textId="77777777" w:rsidR="002D0E99" w:rsidRDefault="000D329E">
      <w:pPr>
        <w:spacing w:after="200" w:line="276" w:lineRule="auto"/>
        <w:jc w:val="both"/>
      </w:pPr>
      <w:r>
        <w:t>Passphrase: (empty)</w:t>
      </w:r>
    </w:p>
    <w:p w14:paraId="736E6A4C" w14:textId="77777777" w:rsidR="002D0E99" w:rsidRDefault="000D329E">
      <w:pPr>
        <w:spacing w:after="200" w:line="276" w:lineRule="auto"/>
        <w:jc w:val="both"/>
      </w:pPr>
      <w:r>
        <w:t>Derived Seed (hex): 5eb00bbddcf069084889a8ab9155568165f5c453ccb85e70811aaed6f6da5fc19a5ac40b389cd370d086206dec8aa6c43daea6690f20ad3d8d48b2d2ce9e38e4</w:t>
      </w:r>
    </w:p>
    <w:p w14:paraId="6DF0DA45" w14:textId="77777777" w:rsidR="002D0E99" w:rsidRDefault="000D329E">
      <w:pPr>
        <w:spacing w:after="200" w:line="276" w:lineRule="auto"/>
        <w:jc w:val="both"/>
      </w:pPr>
      <w:r>
        <w:rPr>
          <w:b/>
          <w:bCs/>
        </w:rPr>
        <w:t>Step 2: Master Key Ge</w:t>
      </w:r>
      <w:r>
        <w:rPr>
          <w:b/>
          <w:bCs/>
        </w:rPr>
        <w:t>neration</w:t>
      </w:r>
    </w:p>
    <w:p w14:paraId="4BF2823A" w14:textId="77777777" w:rsidR="002D0E99" w:rsidRDefault="000D329E">
      <w:pPr>
        <w:spacing w:after="200" w:line="276" w:lineRule="auto"/>
        <w:jc w:val="both"/>
      </w:pPr>
      <w:r>
        <w:t>Using HMAC-SHA512 with key "Bitcoin seed":</w:t>
      </w:r>
    </w:p>
    <w:p w14:paraId="317AB9F9" w14:textId="77777777" w:rsidR="002D0E99" w:rsidRDefault="000D329E">
      <w:pPr>
        <w:spacing w:after="200" w:line="276" w:lineRule="auto"/>
        <w:jc w:val="both"/>
      </w:pPr>
      <w:r>
        <w:t>Master Private Key: e8f32e723decf4051aefac8e2c93c9c5b214313817cdb01a1494b917c8436b35</w:t>
      </w:r>
    </w:p>
    <w:p w14:paraId="4C3D4333" w14:textId="77777777" w:rsidR="002D0E99" w:rsidRDefault="000D329E">
      <w:pPr>
        <w:spacing w:after="200" w:line="276" w:lineRule="auto"/>
        <w:jc w:val="both"/>
      </w:pPr>
      <w:r>
        <w:t>Master Chain Code: 873dff81c02f525623fd1fe5167eac3a55a049de3d314bb42ee227ffed37d508</w:t>
      </w:r>
    </w:p>
    <w:p w14:paraId="6547C8C7" w14:textId="77777777" w:rsidR="002D0E99" w:rsidRDefault="000D329E">
      <w:pPr>
        <w:spacing w:after="200" w:line="276" w:lineRule="auto"/>
        <w:jc w:val="both"/>
      </w:pPr>
      <w:r>
        <w:rPr>
          <w:b/>
          <w:bCs/>
        </w:rPr>
        <w:t>Step 3: BIP-44 Derivation Path</w:t>
      </w:r>
    </w:p>
    <w:p w14:paraId="0DEE5E8D" w14:textId="77777777" w:rsidR="002D0E99" w:rsidRDefault="000D329E">
      <w:pPr>
        <w:spacing w:after="200" w:line="276" w:lineRule="auto"/>
        <w:jc w:val="both"/>
      </w:pPr>
      <w:r>
        <w:t>Path</w:t>
      </w:r>
      <w:r>
        <w:t>: m / 44' / 0' / 0' / 0 / 0</w:t>
      </w:r>
    </w:p>
    <w:p w14:paraId="0CADFC0D" w14:textId="77777777" w:rsidR="002D0E99" w:rsidRDefault="000D329E">
      <w:pPr>
        <w:spacing w:after="200" w:line="276" w:lineRule="auto"/>
        <w:jc w:val="both"/>
      </w:pPr>
      <w:r>
        <w:t>This represents: purpose (BIP-44) / coin type (Bitcoin) / account 0 / external chain / first address</w:t>
      </w:r>
    </w:p>
    <w:p w14:paraId="09AB3460" w14:textId="77777777" w:rsidR="002D0E99" w:rsidRDefault="000D329E">
      <w:pPr>
        <w:spacing w:after="200" w:line="276" w:lineRule="auto"/>
        <w:jc w:val="both"/>
      </w:pPr>
      <w:r>
        <w:rPr>
          <w:b/>
          <w:bCs/>
        </w:rPr>
        <w:t>Step 4: Derived Address</w:t>
      </w:r>
    </w:p>
    <w:p w14:paraId="0804FC74" w14:textId="77777777" w:rsidR="002D0E99" w:rsidRDefault="000D329E">
      <w:pPr>
        <w:spacing w:after="200" w:line="276" w:lineRule="auto"/>
        <w:jc w:val="both"/>
      </w:pPr>
      <w:r>
        <w:t>Private Key: e284129cc0922579a535bbf4d1a3b25773090d28c909bc0fed73b5e0222cc372</w:t>
      </w:r>
    </w:p>
    <w:p w14:paraId="42559CBF" w14:textId="77777777" w:rsidR="002D0E99" w:rsidRDefault="000D329E">
      <w:pPr>
        <w:spacing w:after="200" w:line="276" w:lineRule="auto"/>
        <w:jc w:val="both"/>
      </w:pPr>
      <w:r>
        <w:t>Public Key: 0339a36013301597daef41fbe593a02cc513d0b55527ec2df1050e2e8ff49c85c2</w:t>
      </w:r>
    </w:p>
    <w:p w14:paraId="696B2479" w14:textId="77777777" w:rsidR="002D0E99" w:rsidRDefault="000D329E">
      <w:pPr>
        <w:spacing w:after="200" w:line="276" w:lineRule="auto"/>
        <w:jc w:val="both"/>
      </w:pPr>
      <w:r>
        <w:t>Address (P2PKH): 1LqBGSKuX5yYUonjxT5qGfpUsXKYYWeabA</w:t>
      </w:r>
    </w:p>
    <w:p w14:paraId="4E633509" w14:textId="77777777" w:rsidR="002D0E99" w:rsidRDefault="000D329E">
      <w:pPr>
        <w:spacing w:after="200" w:line="276" w:lineRule="auto"/>
        <w:jc w:val="both"/>
      </w:pPr>
      <w:r>
        <w:rPr>
          <w:b/>
          <w:bCs/>
        </w:rPr>
        <w:t>Key Properties</w:t>
      </w:r>
    </w:p>
    <w:p w14:paraId="4EF67681" w14:textId="77777777" w:rsidR="002D0E99" w:rsidRDefault="000D329E">
      <w:pPr>
        <w:spacing w:after="200" w:line="276" w:lineRule="auto"/>
        <w:jc w:val="both"/>
      </w:pPr>
      <w:r>
        <w:t>The hierarchical structure enabl</w:t>
      </w:r>
      <w:r>
        <w:t>es the following capabilities:</w:t>
      </w:r>
    </w:p>
    <w:p w14:paraId="602D23B4" w14:textId="77777777" w:rsidR="002D0E99" w:rsidRDefault="000D329E">
      <w:pPr>
        <w:pStyle w:val="ListParagraph"/>
        <w:numPr>
          <w:ilvl w:val="0"/>
          <w:numId w:val="2"/>
        </w:numPr>
        <w:spacing w:after="120" w:line="276" w:lineRule="auto"/>
      </w:pPr>
      <w:r>
        <w:t>Account isolation: Compromise of one account branch does not affect others</w:t>
      </w:r>
    </w:p>
    <w:p w14:paraId="3EBF9F5C" w14:textId="77777777" w:rsidR="002D0E99" w:rsidRDefault="000D329E">
      <w:pPr>
        <w:pStyle w:val="ListParagraph"/>
        <w:numPr>
          <w:ilvl w:val="0"/>
          <w:numId w:val="2"/>
        </w:numPr>
        <w:spacing w:after="120" w:line="276" w:lineRule="auto"/>
      </w:pPr>
      <w:r>
        <w:t>Watch-only wallets: Extended public keys enable address generation without spending authority</w:t>
      </w:r>
    </w:p>
    <w:p w14:paraId="585166A2" w14:textId="77777777" w:rsidR="002D0E99" w:rsidRDefault="000D329E">
      <w:pPr>
        <w:pStyle w:val="ListParagraph"/>
        <w:numPr>
          <w:ilvl w:val="0"/>
          <w:numId w:val="2"/>
        </w:numPr>
        <w:spacing w:after="120" w:line="276" w:lineRule="auto"/>
      </w:pPr>
      <w:r>
        <w:t>Organizational mapping: Account indices can map to depar</w:t>
      </w:r>
      <w:r>
        <w:t>tments, purposes, or users</w:t>
      </w:r>
    </w:p>
    <w:p w14:paraId="45DB495D" w14:textId="77777777" w:rsidR="002D0E99" w:rsidRDefault="000D329E">
      <w:pPr>
        <w:pStyle w:val="ListParagraph"/>
        <w:numPr>
          <w:ilvl w:val="0"/>
          <w:numId w:val="2"/>
        </w:numPr>
        <w:spacing w:after="120" w:line="276" w:lineRule="auto"/>
      </w:pPr>
      <w:r>
        <w:t>Single backup: The master seed reconstructs the entire key hierarchy</w:t>
      </w:r>
    </w:p>
    <w:p w14:paraId="089A5FF0" w14:textId="77777777" w:rsidR="002D0E99" w:rsidRDefault="000D329E">
      <w:r>
        <w:lastRenderedPageBreak/>
        <w:br w:type="page"/>
      </w:r>
    </w:p>
    <w:p w14:paraId="255F23ED" w14:textId="77777777" w:rsidR="002D0E99" w:rsidRDefault="000D329E">
      <w:pPr>
        <w:pStyle w:val="Heading1"/>
      </w:pPr>
      <w:bookmarkStart w:id="81" w:name="_Toc215817726"/>
      <w:r>
        <w:lastRenderedPageBreak/>
        <w:t>Appendix C: Security Incident Timeline 2024</w:t>
      </w:r>
      <w:bookmarkEnd w:id="8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5"/>
        <w:gridCol w:w="1145"/>
        <w:gridCol w:w="896"/>
        <w:gridCol w:w="2650"/>
      </w:tblGrid>
      <w:tr w:rsidR="002D0E99" w14:paraId="4BA0198D"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4DF1F53E" w14:textId="77777777" w:rsidR="002D0E99" w:rsidRDefault="000D329E">
            <w:pPr>
              <w:jc w:val="center"/>
            </w:pPr>
            <w:r>
              <w:rPr>
                <w:b/>
                <w:bCs/>
                <w:sz w:val="18"/>
                <w:szCs w:val="18"/>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565A2390" w14:textId="77777777" w:rsidR="002D0E99" w:rsidRDefault="000D329E">
            <w:pPr>
              <w:jc w:val="center"/>
            </w:pPr>
            <w:r>
              <w:rPr>
                <w:b/>
                <w:bCs/>
                <w:sz w:val="18"/>
                <w:szCs w:val="18"/>
              </w:rPr>
              <w:t>Target</w:t>
            </w:r>
          </w:p>
        </w:tc>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5B13358F" w14:textId="77777777" w:rsidR="002D0E99" w:rsidRDefault="000D329E">
            <w:pPr>
              <w:jc w:val="center"/>
            </w:pPr>
            <w:r>
              <w:rPr>
                <w:b/>
                <w:bCs/>
                <w:sz w:val="18"/>
                <w:szCs w:val="18"/>
              </w:rPr>
              <w:t>Loss (USD)</w:t>
            </w:r>
          </w:p>
        </w:tc>
        <w:tc>
          <w:tcPr>
            <w:tcW w:w="0" w:type="auto"/>
            <w:tcBorders>
              <w:top w:val="single" w:sz="1" w:space="0" w:color="CCCCCC"/>
              <w:left w:val="single" w:sz="1" w:space="0" w:color="CCCCCC"/>
              <w:bottom w:val="single" w:sz="1" w:space="0" w:color="CCCCCC"/>
              <w:right w:val="single" w:sz="1" w:space="0" w:color="CCCCCC"/>
            </w:tcBorders>
            <w:shd w:val="clear" w:color="auto" w:fill="E8E8E8"/>
          </w:tcPr>
          <w:p w14:paraId="0AFA9E85" w14:textId="77777777" w:rsidR="002D0E99" w:rsidRDefault="000D329E">
            <w:pPr>
              <w:jc w:val="center"/>
            </w:pPr>
            <w:r>
              <w:rPr>
                <w:b/>
                <w:bCs/>
                <w:sz w:val="18"/>
                <w:szCs w:val="18"/>
              </w:rPr>
              <w:t>Attack Vector</w:t>
            </w:r>
          </w:p>
        </w:tc>
      </w:tr>
      <w:tr w:rsidR="002D0E99" w14:paraId="43E230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580109C4" w14:textId="77777777" w:rsidR="002D0E99" w:rsidRDefault="000D329E">
            <w:r>
              <w:rPr>
                <w:sz w:val="18"/>
                <w:szCs w:val="18"/>
              </w:rPr>
              <w:t>May 2024</w:t>
            </w:r>
          </w:p>
        </w:tc>
        <w:tc>
          <w:tcPr>
            <w:tcW w:w="0" w:type="auto"/>
            <w:tcBorders>
              <w:top w:val="single" w:sz="1" w:space="0" w:color="CCCCCC"/>
              <w:left w:val="single" w:sz="1" w:space="0" w:color="CCCCCC"/>
              <w:bottom w:val="single" w:sz="1" w:space="0" w:color="CCCCCC"/>
              <w:right w:val="single" w:sz="1" w:space="0" w:color="CCCCCC"/>
            </w:tcBorders>
          </w:tcPr>
          <w:p w14:paraId="3AE09259" w14:textId="77777777" w:rsidR="002D0E99" w:rsidRDefault="000D329E">
            <w:r>
              <w:rPr>
                <w:sz w:val="18"/>
                <w:szCs w:val="18"/>
              </w:rPr>
              <w:t>DMM Bitcoin</w:t>
            </w:r>
          </w:p>
        </w:tc>
        <w:tc>
          <w:tcPr>
            <w:tcW w:w="0" w:type="auto"/>
            <w:tcBorders>
              <w:top w:val="single" w:sz="1" w:space="0" w:color="CCCCCC"/>
              <w:left w:val="single" w:sz="1" w:space="0" w:color="CCCCCC"/>
              <w:bottom w:val="single" w:sz="1" w:space="0" w:color="CCCCCC"/>
              <w:right w:val="single" w:sz="1" w:space="0" w:color="CCCCCC"/>
            </w:tcBorders>
          </w:tcPr>
          <w:p w14:paraId="545B3A9F" w14:textId="77777777" w:rsidR="002D0E99" w:rsidRDefault="000D329E">
            <w:pPr>
              <w:jc w:val="right"/>
            </w:pPr>
            <w:r>
              <w:rPr>
                <w:sz w:val="18"/>
                <w:szCs w:val="18"/>
              </w:rPr>
              <w:t>$305M</w:t>
            </w:r>
          </w:p>
        </w:tc>
        <w:tc>
          <w:tcPr>
            <w:tcW w:w="0" w:type="auto"/>
            <w:tcBorders>
              <w:top w:val="single" w:sz="1" w:space="0" w:color="CCCCCC"/>
              <w:left w:val="single" w:sz="1" w:space="0" w:color="CCCCCC"/>
              <w:bottom w:val="single" w:sz="1" w:space="0" w:color="CCCCCC"/>
              <w:right w:val="single" w:sz="1" w:space="0" w:color="CCCCCC"/>
            </w:tcBorders>
          </w:tcPr>
          <w:p w14:paraId="4AE4BAE1" w14:textId="77777777" w:rsidR="002D0E99" w:rsidRDefault="000D329E">
            <w:r>
              <w:rPr>
                <w:sz w:val="18"/>
                <w:szCs w:val="18"/>
              </w:rPr>
              <w:t>Private key compromise (hot wallet)</w:t>
            </w:r>
          </w:p>
        </w:tc>
      </w:tr>
      <w:tr w:rsidR="002D0E99" w14:paraId="50BD94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57759FAD" w14:textId="77777777" w:rsidR="002D0E99" w:rsidRDefault="000D329E">
            <w:r>
              <w:rPr>
                <w:sz w:val="18"/>
                <w:szCs w:val="18"/>
              </w:rPr>
              <w:t>June 2024</w:t>
            </w:r>
          </w:p>
        </w:tc>
        <w:tc>
          <w:tcPr>
            <w:tcW w:w="0" w:type="auto"/>
            <w:tcBorders>
              <w:top w:val="single" w:sz="1" w:space="0" w:color="CCCCCC"/>
              <w:left w:val="single" w:sz="1" w:space="0" w:color="CCCCCC"/>
              <w:bottom w:val="single" w:sz="1" w:space="0" w:color="CCCCCC"/>
              <w:right w:val="single" w:sz="1" w:space="0" w:color="CCCCCC"/>
            </w:tcBorders>
          </w:tcPr>
          <w:p w14:paraId="567B8CD5" w14:textId="77777777" w:rsidR="002D0E99" w:rsidRDefault="000D329E">
            <w:r>
              <w:rPr>
                <w:sz w:val="18"/>
                <w:szCs w:val="18"/>
              </w:rPr>
              <w:t>Loopring</w:t>
            </w:r>
          </w:p>
        </w:tc>
        <w:tc>
          <w:tcPr>
            <w:tcW w:w="0" w:type="auto"/>
            <w:tcBorders>
              <w:top w:val="single" w:sz="1" w:space="0" w:color="CCCCCC"/>
              <w:left w:val="single" w:sz="1" w:space="0" w:color="CCCCCC"/>
              <w:bottom w:val="single" w:sz="1" w:space="0" w:color="CCCCCC"/>
              <w:right w:val="single" w:sz="1" w:space="0" w:color="CCCCCC"/>
            </w:tcBorders>
          </w:tcPr>
          <w:p w14:paraId="5CD6B12D" w14:textId="77777777" w:rsidR="002D0E99" w:rsidRDefault="000D329E">
            <w:pPr>
              <w:jc w:val="right"/>
            </w:pPr>
            <w:r>
              <w:rPr>
                <w:sz w:val="18"/>
                <w:szCs w:val="18"/>
              </w:rPr>
              <w:t>$5M</w:t>
            </w:r>
          </w:p>
        </w:tc>
        <w:tc>
          <w:tcPr>
            <w:tcW w:w="0" w:type="auto"/>
            <w:tcBorders>
              <w:top w:val="single" w:sz="1" w:space="0" w:color="CCCCCC"/>
              <w:left w:val="single" w:sz="1" w:space="0" w:color="CCCCCC"/>
              <w:bottom w:val="single" w:sz="1" w:space="0" w:color="CCCCCC"/>
              <w:right w:val="single" w:sz="1" w:space="0" w:color="CCCCCC"/>
            </w:tcBorders>
          </w:tcPr>
          <w:p w14:paraId="3357F778" w14:textId="77777777" w:rsidR="002D0E99" w:rsidRDefault="000D329E">
            <w:r>
              <w:rPr>
                <w:sz w:val="18"/>
                <w:szCs w:val="18"/>
              </w:rPr>
              <w:t>Social recovery 2FA bypass</w:t>
            </w:r>
          </w:p>
        </w:tc>
      </w:tr>
      <w:tr w:rsidR="002D0E99" w14:paraId="3B568F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3F8DCE3" w14:textId="77777777" w:rsidR="002D0E99" w:rsidRDefault="000D329E">
            <w:r>
              <w:rPr>
                <w:sz w:val="18"/>
                <w:szCs w:val="18"/>
              </w:rPr>
              <w:t>July 2024</w:t>
            </w:r>
          </w:p>
        </w:tc>
        <w:tc>
          <w:tcPr>
            <w:tcW w:w="0" w:type="auto"/>
            <w:tcBorders>
              <w:top w:val="single" w:sz="1" w:space="0" w:color="CCCCCC"/>
              <w:left w:val="single" w:sz="1" w:space="0" w:color="CCCCCC"/>
              <w:bottom w:val="single" w:sz="1" w:space="0" w:color="CCCCCC"/>
              <w:right w:val="single" w:sz="1" w:space="0" w:color="CCCCCC"/>
            </w:tcBorders>
          </w:tcPr>
          <w:p w14:paraId="4D3EA703" w14:textId="77777777" w:rsidR="002D0E99" w:rsidRDefault="000D329E">
            <w:r>
              <w:rPr>
                <w:sz w:val="18"/>
                <w:szCs w:val="18"/>
              </w:rPr>
              <w:t>WazirX</w:t>
            </w:r>
          </w:p>
        </w:tc>
        <w:tc>
          <w:tcPr>
            <w:tcW w:w="0" w:type="auto"/>
            <w:tcBorders>
              <w:top w:val="single" w:sz="1" w:space="0" w:color="CCCCCC"/>
              <w:left w:val="single" w:sz="1" w:space="0" w:color="CCCCCC"/>
              <w:bottom w:val="single" w:sz="1" w:space="0" w:color="CCCCCC"/>
              <w:right w:val="single" w:sz="1" w:space="0" w:color="CCCCCC"/>
            </w:tcBorders>
          </w:tcPr>
          <w:p w14:paraId="779A00EB" w14:textId="77777777" w:rsidR="002D0E99" w:rsidRDefault="000D329E">
            <w:pPr>
              <w:jc w:val="right"/>
            </w:pPr>
            <w:r>
              <w:rPr>
                <w:sz w:val="18"/>
                <w:szCs w:val="18"/>
              </w:rPr>
              <w:t>$235M</w:t>
            </w:r>
          </w:p>
        </w:tc>
        <w:tc>
          <w:tcPr>
            <w:tcW w:w="0" w:type="auto"/>
            <w:tcBorders>
              <w:top w:val="single" w:sz="1" w:space="0" w:color="CCCCCC"/>
              <w:left w:val="single" w:sz="1" w:space="0" w:color="CCCCCC"/>
              <w:bottom w:val="single" w:sz="1" w:space="0" w:color="CCCCCC"/>
              <w:right w:val="single" w:sz="1" w:space="0" w:color="CCCCCC"/>
            </w:tcBorders>
          </w:tcPr>
          <w:p w14:paraId="6A22279D" w14:textId="77777777" w:rsidR="002D0E99" w:rsidRDefault="000D329E">
            <w:r>
              <w:rPr>
                <w:sz w:val="18"/>
                <w:szCs w:val="18"/>
              </w:rPr>
              <w:t>Interface manipulation (multisig)</w:t>
            </w:r>
          </w:p>
        </w:tc>
      </w:tr>
      <w:tr w:rsidR="002D0E99" w14:paraId="05AEE2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2D65B53" w14:textId="77777777" w:rsidR="002D0E99" w:rsidRDefault="000D329E">
            <w:r>
              <w:rPr>
                <w:sz w:val="18"/>
                <w:szCs w:val="18"/>
              </w:rPr>
              <w:t>Oct 2024</w:t>
            </w:r>
          </w:p>
        </w:tc>
        <w:tc>
          <w:tcPr>
            <w:tcW w:w="0" w:type="auto"/>
            <w:tcBorders>
              <w:top w:val="single" w:sz="1" w:space="0" w:color="CCCCCC"/>
              <w:left w:val="single" w:sz="1" w:space="0" w:color="CCCCCC"/>
              <w:bottom w:val="single" w:sz="1" w:space="0" w:color="CCCCCC"/>
              <w:right w:val="single" w:sz="1" w:space="0" w:color="CCCCCC"/>
            </w:tcBorders>
          </w:tcPr>
          <w:p w14:paraId="747A420F" w14:textId="77777777" w:rsidR="002D0E99" w:rsidRDefault="000D329E">
            <w:r>
              <w:rPr>
                <w:sz w:val="18"/>
                <w:szCs w:val="18"/>
              </w:rPr>
              <w:t>Radiant Capital</w:t>
            </w:r>
          </w:p>
        </w:tc>
        <w:tc>
          <w:tcPr>
            <w:tcW w:w="0" w:type="auto"/>
            <w:tcBorders>
              <w:top w:val="single" w:sz="1" w:space="0" w:color="CCCCCC"/>
              <w:left w:val="single" w:sz="1" w:space="0" w:color="CCCCCC"/>
              <w:bottom w:val="single" w:sz="1" w:space="0" w:color="CCCCCC"/>
              <w:right w:val="single" w:sz="1" w:space="0" w:color="CCCCCC"/>
            </w:tcBorders>
          </w:tcPr>
          <w:p w14:paraId="11454186" w14:textId="77777777" w:rsidR="002D0E99" w:rsidRDefault="000D329E">
            <w:pPr>
              <w:jc w:val="right"/>
            </w:pPr>
            <w:r>
              <w:rPr>
                <w:sz w:val="18"/>
                <w:szCs w:val="18"/>
              </w:rPr>
              <w:t>$51M</w:t>
            </w:r>
          </w:p>
        </w:tc>
        <w:tc>
          <w:tcPr>
            <w:tcW w:w="0" w:type="auto"/>
            <w:tcBorders>
              <w:top w:val="single" w:sz="1" w:space="0" w:color="CCCCCC"/>
              <w:left w:val="single" w:sz="1" w:space="0" w:color="CCCCCC"/>
              <w:bottom w:val="single" w:sz="1" w:space="0" w:color="CCCCCC"/>
              <w:right w:val="single" w:sz="1" w:space="0" w:color="CCCCCC"/>
            </w:tcBorders>
          </w:tcPr>
          <w:p w14:paraId="28EF76D7" w14:textId="77777777" w:rsidR="002D0E99" w:rsidRDefault="000D329E">
            <w:r>
              <w:rPr>
                <w:sz w:val="18"/>
                <w:szCs w:val="18"/>
              </w:rPr>
              <w:t>Safe interface malware</w:t>
            </w:r>
          </w:p>
        </w:tc>
      </w:tr>
    </w:tbl>
    <w:p w14:paraId="213B1F7B" w14:textId="77777777" w:rsidR="002D0E99" w:rsidRDefault="002D0E99">
      <w:pPr>
        <w:spacing w:after="200"/>
      </w:pPr>
    </w:p>
    <w:p w14:paraId="7433653B" w14:textId="77777777" w:rsidR="002D0E99" w:rsidRDefault="000D329E">
      <w:pPr>
        <w:spacing w:after="200" w:line="276" w:lineRule="auto"/>
        <w:jc w:val="both"/>
      </w:pPr>
      <w:r>
        <w:t>The 2024 incidents demonstrate distinct attack patterns targeting different architectural layers. Private key compromise, as in the DMM Bitcoin case, represents the traditional attack vector requiring either hot wallet exposure or insider access. Interface</w:t>
      </w:r>
      <w:r>
        <w:t xml:space="preserve"> manipulation attacks against WazirX and Radiant Capital represent an emerging threat category that bypasses cryptographic protections by compromising the human-computer interface. Social recovery exploitation at Loopring demonstrates the trade-offs inhere</w:t>
      </w:r>
      <w:r>
        <w:t>nt in recovery systems designed to help users who lose primary access methods.</w:t>
      </w:r>
    </w:p>
    <w:p w14:paraId="72BF876F" w14:textId="77777777" w:rsidR="002D0E99" w:rsidRDefault="000D329E">
      <w:pPr>
        <w:spacing w:after="200" w:line="276" w:lineRule="auto"/>
        <w:jc w:val="both"/>
      </w:pPr>
      <w:r>
        <w:t xml:space="preserve">Attribution analysis links several 2024 incidents to the Lazarus Group, a North Korean state-sponsored threat actor. The group's sustained targeting of cryptocurrency platforms </w:t>
      </w:r>
      <w:r>
        <w:t>reflects broader geopolitical trends where digital asset theft contributes to sanctioned nation funding. Estimated Lazarus Group cryptocurrency theft exceeds $3 billion cumulative, with 2024 contributing significantly to this total.</w:t>
      </w:r>
    </w:p>
    <w:p w14:paraId="38BBA908" w14:textId="77777777" w:rsidR="002D0E99" w:rsidRDefault="000D329E">
      <w:r>
        <w:br w:type="page"/>
      </w:r>
    </w:p>
    <w:p w14:paraId="12506D8D" w14:textId="77777777" w:rsidR="002D0E99" w:rsidRDefault="000D329E">
      <w:pPr>
        <w:spacing w:before="600"/>
        <w:jc w:val="center"/>
      </w:pPr>
      <w:r>
        <w:rPr>
          <w:rFonts w:ascii="Arial" w:eastAsia="Arial" w:hAnsi="Arial" w:cs="Arial"/>
          <w:i/>
          <w:iCs/>
          <w:color w:val="666666"/>
        </w:rPr>
        <w:lastRenderedPageBreak/>
        <w:t>— End of Document —</w:t>
      </w:r>
    </w:p>
    <w:p w14:paraId="3287854D" w14:textId="77777777" w:rsidR="002D0E99" w:rsidRDefault="002D0E99">
      <w:pPr>
        <w:spacing w:after="400"/>
      </w:pPr>
    </w:p>
    <w:p w14:paraId="1411B4F7" w14:textId="77777777" w:rsidR="002D0E99" w:rsidRDefault="000D329E">
      <w:pPr>
        <w:jc w:val="center"/>
      </w:pPr>
      <w:r>
        <w:rPr>
          <w:rFonts w:ascii="Arial" w:eastAsia="Arial" w:hAnsi="Arial" w:cs="Arial"/>
          <w:sz w:val="22"/>
          <w:szCs w:val="22"/>
        </w:rPr>
        <w:t>Istanbul Kültür University</w:t>
      </w:r>
    </w:p>
    <w:p w14:paraId="065820FB" w14:textId="77777777" w:rsidR="002D0E99" w:rsidRDefault="000D329E">
      <w:pPr>
        <w:jc w:val="center"/>
      </w:pPr>
      <w:r>
        <w:rPr>
          <w:rFonts w:ascii="Arial" w:eastAsia="Arial" w:hAnsi="Arial" w:cs="Arial"/>
          <w:sz w:val="22"/>
          <w:szCs w:val="22"/>
        </w:rPr>
        <w:t>Department of Computer Engineering</w:t>
      </w:r>
    </w:p>
    <w:p w14:paraId="7DF5E7F7" w14:textId="77777777" w:rsidR="002D0E99" w:rsidRDefault="000D329E">
      <w:pPr>
        <w:jc w:val="center"/>
      </w:pPr>
      <w:r>
        <w:rPr>
          <w:rFonts w:ascii="Arial" w:eastAsia="Arial" w:hAnsi="Arial" w:cs="Arial"/>
          <w:sz w:val="22"/>
          <w:szCs w:val="22"/>
        </w:rPr>
        <w:t>SEN0401 - Special Topics in Software Engineering: Blockchain</w:t>
      </w:r>
    </w:p>
    <w:p w14:paraId="5DD0E411" w14:textId="77777777" w:rsidR="002D0E99" w:rsidRDefault="000D329E">
      <w:pPr>
        <w:spacing w:before="200"/>
        <w:jc w:val="center"/>
      </w:pPr>
      <w:r>
        <w:rPr>
          <w:rFonts w:ascii="Arial" w:eastAsia="Arial" w:hAnsi="Arial" w:cs="Arial"/>
          <w:sz w:val="22"/>
          <w:szCs w:val="22"/>
        </w:rPr>
        <w:t>December 2025</w:t>
      </w:r>
    </w:p>
    <w:sectPr w:rsidR="002D0E9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D315A" w14:textId="77777777" w:rsidR="000D329E" w:rsidRDefault="000D329E">
      <w:r>
        <w:separator/>
      </w:r>
    </w:p>
  </w:endnote>
  <w:endnote w:type="continuationSeparator" w:id="0">
    <w:p w14:paraId="265D33BC" w14:textId="77777777" w:rsidR="000D329E" w:rsidRDefault="000D3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F8BE8" w14:textId="77777777" w:rsidR="002D0E99" w:rsidRDefault="000D329E">
    <w:pPr>
      <w:jc w:val="center"/>
    </w:pPr>
    <w:r>
      <w:rPr>
        <w:rFonts w:ascii="Arial" w:eastAsia="Arial" w:hAnsi="Arial" w:cs="Arial"/>
        <w:sz w:val="20"/>
        <w:szCs w:val="20"/>
      </w:rPr>
      <w:t xml:space="preserve">Page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B97E2E">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xml:space="preserve"> of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sidR="00B97E2E">
      <w:rPr>
        <w:rFonts w:ascii="Arial" w:eastAsia="Arial" w:hAnsi="Arial" w:cs="Arial"/>
        <w:noProof/>
        <w:sz w:val="20"/>
        <w:szCs w:val="20"/>
      </w:rPr>
      <w:t>2</w:t>
    </w:r>
    <w:r>
      <w:rPr>
        <w:rFonts w:ascii="Arial" w:eastAsia="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9CE8C" w14:textId="77777777" w:rsidR="000D329E" w:rsidRDefault="000D329E">
      <w:r>
        <w:separator/>
      </w:r>
    </w:p>
  </w:footnote>
  <w:footnote w:type="continuationSeparator" w:id="0">
    <w:p w14:paraId="1C4588CA" w14:textId="77777777" w:rsidR="000D329E" w:rsidRDefault="000D3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0E20A" w14:textId="77777777" w:rsidR="002D0E99" w:rsidRDefault="000D329E">
    <w:pPr>
      <w:jc w:val="right"/>
    </w:pPr>
    <w:r>
      <w:rPr>
        <w:rFonts w:ascii="Arial" w:eastAsia="Arial" w:hAnsi="Arial" w:cs="Arial"/>
        <w:i/>
        <w:iCs/>
        <w:color w:val="666666"/>
        <w:sz w:val="20"/>
        <w:szCs w:val="20"/>
      </w:rPr>
      <w:t>SEN0401 - Blockchain Wallets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C7CC4"/>
    <w:multiLevelType w:val="hybridMultilevel"/>
    <w:tmpl w:val="8532569C"/>
    <w:lvl w:ilvl="0" w:tplc="1690074A">
      <w:start w:val="1"/>
      <w:numFmt w:val="bullet"/>
      <w:lvlText w:val="•"/>
      <w:lvlJc w:val="left"/>
      <w:pPr>
        <w:ind w:left="720" w:hanging="360"/>
      </w:pPr>
    </w:lvl>
    <w:lvl w:ilvl="1" w:tplc="2228BF44">
      <w:numFmt w:val="decimal"/>
      <w:lvlText w:val=""/>
      <w:lvlJc w:val="left"/>
    </w:lvl>
    <w:lvl w:ilvl="2" w:tplc="19EA94DE">
      <w:numFmt w:val="decimal"/>
      <w:lvlText w:val=""/>
      <w:lvlJc w:val="left"/>
    </w:lvl>
    <w:lvl w:ilvl="3" w:tplc="80582202">
      <w:numFmt w:val="decimal"/>
      <w:lvlText w:val=""/>
      <w:lvlJc w:val="left"/>
    </w:lvl>
    <w:lvl w:ilvl="4" w:tplc="FE06EAD4">
      <w:numFmt w:val="decimal"/>
      <w:lvlText w:val=""/>
      <w:lvlJc w:val="left"/>
    </w:lvl>
    <w:lvl w:ilvl="5" w:tplc="5642B132">
      <w:numFmt w:val="decimal"/>
      <w:lvlText w:val=""/>
      <w:lvlJc w:val="left"/>
    </w:lvl>
    <w:lvl w:ilvl="6" w:tplc="4E1E544C">
      <w:numFmt w:val="decimal"/>
      <w:lvlText w:val=""/>
      <w:lvlJc w:val="left"/>
    </w:lvl>
    <w:lvl w:ilvl="7" w:tplc="42006A48">
      <w:numFmt w:val="decimal"/>
      <w:lvlText w:val=""/>
      <w:lvlJc w:val="left"/>
    </w:lvl>
    <w:lvl w:ilvl="8" w:tplc="C9A8DCB2">
      <w:numFmt w:val="decimal"/>
      <w:lvlText w:val=""/>
      <w:lvlJc w:val="left"/>
    </w:lvl>
  </w:abstractNum>
  <w:abstractNum w:abstractNumId="1" w15:restartNumberingAfterBreak="0">
    <w:nsid w:val="216902E0"/>
    <w:multiLevelType w:val="hybridMultilevel"/>
    <w:tmpl w:val="E7D21EA6"/>
    <w:lvl w:ilvl="0" w:tplc="4788A2A2">
      <w:start w:val="1"/>
      <w:numFmt w:val="decimal"/>
      <w:lvlText w:val="%1."/>
      <w:lvlJc w:val="left"/>
      <w:pPr>
        <w:ind w:left="720" w:hanging="360"/>
      </w:pPr>
    </w:lvl>
    <w:lvl w:ilvl="1" w:tplc="9070866A">
      <w:numFmt w:val="decimal"/>
      <w:lvlText w:val=""/>
      <w:lvlJc w:val="left"/>
    </w:lvl>
    <w:lvl w:ilvl="2" w:tplc="126651C0">
      <w:numFmt w:val="decimal"/>
      <w:lvlText w:val=""/>
      <w:lvlJc w:val="left"/>
    </w:lvl>
    <w:lvl w:ilvl="3" w:tplc="83A4A888">
      <w:numFmt w:val="decimal"/>
      <w:lvlText w:val=""/>
      <w:lvlJc w:val="left"/>
    </w:lvl>
    <w:lvl w:ilvl="4" w:tplc="17126F50">
      <w:numFmt w:val="decimal"/>
      <w:lvlText w:val=""/>
      <w:lvlJc w:val="left"/>
    </w:lvl>
    <w:lvl w:ilvl="5" w:tplc="BF8CFE10">
      <w:numFmt w:val="decimal"/>
      <w:lvlText w:val=""/>
      <w:lvlJc w:val="left"/>
    </w:lvl>
    <w:lvl w:ilvl="6" w:tplc="44E8E956">
      <w:numFmt w:val="decimal"/>
      <w:lvlText w:val=""/>
      <w:lvlJc w:val="left"/>
    </w:lvl>
    <w:lvl w:ilvl="7" w:tplc="2D9AC95A">
      <w:numFmt w:val="decimal"/>
      <w:lvlText w:val=""/>
      <w:lvlJc w:val="left"/>
    </w:lvl>
    <w:lvl w:ilvl="8" w:tplc="15EA09E8">
      <w:numFmt w:val="decimal"/>
      <w:lvlText w:val=""/>
      <w:lvlJc w:val="left"/>
    </w:lvl>
  </w:abstractNum>
  <w:abstractNum w:abstractNumId="2" w15:restartNumberingAfterBreak="0">
    <w:nsid w:val="2A4C53EC"/>
    <w:multiLevelType w:val="hybridMultilevel"/>
    <w:tmpl w:val="7E96B4E8"/>
    <w:lvl w:ilvl="0" w:tplc="CE38AE74">
      <w:start w:val="1"/>
      <w:numFmt w:val="decimal"/>
      <w:lvlText w:val="%1."/>
      <w:lvlJc w:val="left"/>
      <w:pPr>
        <w:ind w:left="720" w:hanging="360"/>
      </w:pPr>
    </w:lvl>
    <w:lvl w:ilvl="1" w:tplc="3F02A722">
      <w:numFmt w:val="decimal"/>
      <w:lvlText w:val=""/>
      <w:lvlJc w:val="left"/>
    </w:lvl>
    <w:lvl w:ilvl="2" w:tplc="332C791C">
      <w:numFmt w:val="decimal"/>
      <w:lvlText w:val=""/>
      <w:lvlJc w:val="left"/>
    </w:lvl>
    <w:lvl w:ilvl="3" w:tplc="857A00D4">
      <w:numFmt w:val="decimal"/>
      <w:lvlText w:val=""/>
      <w:lvlJc w:val="left"/>
    </w:lvl>
    <w:lvl w:ilvl="4" w:tplc="2D544EF6">
      <w:numFmt w:val="decimal"/>
      <w:lvlText w:val=""/>
      <w:lvlJc w:val="left"/>
    </w:lvl>
    <w:lvl w:ilvl="5" w:tplc="966ACABA">
      <w:numFmt w:val="decimal"/>
      <w:lvlText w:val=""/>
      <w:lvlJc w:val="left"/>
    </w:lvl>
    <w:lvl w:ilvl="6" w:tplc="FC248D44">
      <w:numFmt w:val="decimal"/>
      <w:lvlText w:val=""/>
      <w:lvlJc w:val="left"/>
    </w:lvl>
    <w:lvl w:ilvl="7" w:tplc="E9D05C64">
      <w:numFmt w:val="decimal"/>
      <w:lvlText w:val=""/>
      <w:lvlJc w:val="left"/>
    </w:lvl>
    <w:lvl w:ilvl="8" w:tplc="CAFA664E">
      <w:numFmt w:val="decimal"/>
      <w:lvlText w:val=""/>
      <w:lvlJc w:val="left"/>
    </w:lvl>
  </w:abstractNum>
  <w:abstractNum w:abstractNumId="3" w15:restartNumberingAfterBreak="0">
    <w:nsid w:val="42AC73D3"/>
    <w:multiLevelType w:val="hybridMultilevel"/>
    <w:tmpl w:val="56542E2E"/>
    <w:lvl w:ilvl="0" w:tplc="13808F42">
      <w:start w:val="1"/>
      <w:numFmt w:val="decimal"/>
      <w:lvlText w:val="%1."/>
      <w:lvlJc w:val="left"/>
      <w:pPr>
        <w:ind w:left="720" w:hanging="360"/>
      </w:pPr>
    </w:lvl>
    <w:lvl w:ilvl="1" w:tplc="62FCD1DA">
      <w:numFmt w:val="decimal"/>
      <w:lvlText w:val=""/>
      <w:lvlJc w:val="left"/>
    </w:lvl>
    <w:lvl w:ilvl="2" w:tplc="1E6439E8">
      <w:numFmt w:val="decimal"/>
      <w:lvlText w:val=""/>
      <w:lvlJc w:val="left"/>
    </w:lvl>
    <w:lvl w:ilvl="3" w:tplc="DBEEE062">
      <w:numFmt w:val="decimal"/>
      <w:lvlText w:val=""/>
      <w:lvlJc w:val="left"/>
    </w:lvl>
    <w:lvl w:ilvl="4" w:tplc="D1AC2C08">
      <w:numFmt w:val="decimal"/>
      <w:lvlText w:val=""/>
      <w:lvlJc w:val="left"/>
    </w:lvl>
    <w:lvl w:ilvl="5" w:tplc="734CBCDC">
      <w:numFmt w:val="decimal"/>
      <w:lvlText w:val=""/>
      <w:lvlJc w:val="left"/>
    </w:lvl>
    <w:lvl w:ilvl="6" w:tplc="B8E2528A">
      <w:numFmt w:val="decimal"/>
      <w:lvlText w:val=""/>
      <w:lvlJc w:val="left"/>
    </w:lvl>
    <w:lvl w:ilvl="7" w:tplc="EDB4B1C6">
      <w:numFmt w:val="decimal"/>
      <w:lvlText w:val=""/>
      <w:lvlJc w:val="left"/>
    </w:lvl>
    <w:lvl w:ilvl="8" w:tplc="72CEE4A0">
      <w:numFmt w:val="decimal"/>
      <w:lvlText w:val=""/>
      <w:lvlJc w:val="left"/>
    </w:lvl>
  </w:abstractNum>
  <w:abstractNum w:abstractNumId="4" w15:restartNumberingAfterBreak="0">
    <w:nsid w:val="70292251"/>
    <w:multiLevelType w:val="hybridMultilevel"/>
    <w:tmpl w:val="4A482BD4"/>
    <w:lvl w:ilvl="0" w:tplc="D6065C1A">
      <w:start w:val="1"/>
      <w:numFmt w:val="bullet"/>
      <w:lvlText w:val="●"/>
      <w:lvlJc w:val="left"/>
      <w:pPr>
        <w:ind w:left="720" w:hanging="360"/>
      </w:pPr>
    </w:lvl>
    <w:lvl w:ilvl="1" w:tplc="D50EF3B2">
      <w:start w:val="1"/>
      <w:numFmt w:val="bullet"/>
      <w:lvlText w:val="○"/>
      <w:lvlJc w:val="left"/>
      <w:pPr>
        <w:ind w:left="1440" w:hanging="360"/>
      </w:pPr>
    </w:lvl>
    <w:lvl w:ilvl="2" w:tplc="9C6C7798">
      <w:start w:val="1"/>
      <w:numFmt w:val="bullet"/>
      <w:lvlText w:val="■"/>
      <w:lvlJc w:val="left"/>
      <w:pPr>
        <w:ind w:left="2160" w:hanging="360"/>
      </w:pPr>
    </w:lvl>
    <w:lvl w:ilvl="3" w:tplc="A04E50EC">
      <w:start w:val="1"/>
      <w:numFmt w:val="bullet"/>
      <w:lvlText w:val="●"/>
      <w:lvlJc w:val="left"/>
      <w:pPr>
        <w:ind w:left="2880" w:hanging="360"/>
      </w:pPr>
    </w:lvl>
    <w:lvl w:ilvl="4" w:tplc="E252122A">
      <w:start w:val="1"/>
      <w:numFmt w:val="bullet"/>
      <w:lvlText w:val="○"/>
      <w:lvlJc w:val="left"/>
      <w:pPr>
        <w:ind w:left="3600" w:hanging="360"/>
      </w:pPr>
    </w:lvl>
    <w:lvl w:ilvl="5" w:tplc="59BCFC9A">
      <w:start w:val="1"/>
      <w:numFmt w:val="bullet"/>
      <w:lvlText w:val="■"/>
      <w:lvlJc w:val="left"/>
      <w:pPr>
        <w:ind w:left="4320" w:hanging="360"/>
      </w:pPr>
    </w:lvl>
    <w:lvl w:ilvl="6" w:tplc="2C0C3324">
      <w:start w:val="1"/>
      <w:numFmt w:val="bullet"/>
      <w:lvlText w:val="●"/>
      <w:lvlJc w:val="left"/>
      <w:pPr>
        <w:ind w:left="5040" w:hanging="360"/>
      </w:pPr>
    </w:lvl>
    <w:lvl w:ilvl="7" w:tplc="55B43C04">
      <w:start w:val="1"/>
      <w:numFmt w:val="bullet"/>
      <w:lvlText w:val="●"/>
      <w:lvlJc w:val="left"/>
      <w:pPr>
        <w:ind w:left="5760" w:hanging="360"/>
      </w:pPr>
    </w:lvl>
    <w:lvl w:ilvl="8" w:tplc="DA6E2B4A">
      <w:start w:val="1"/>
      <w:numFmt w:val="bullet"/>
      <w:lvlText w:val="●"/>
      <w:lvlJc w:val="left"/>
      <w:pPr>
        <w:ind w:left="6480" w:hanging="360"/>
      </w:pPr>
    </w:lvl>
  </w:abstractNum>
  <w:num w:numId="1">
    <w:abstractNumId w:val="4"/>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E99"/>
    <w:rsid w:val="000D329E"/>
    <w:rsid w:val="002D0E99"/>
    <w:rsid w:val="00B97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874DF"/>
  <w15:docId w15:val="{CB7FAF41-F9A4-4D5D-A041-ACBC54289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Arial" w:eastAsia="Arial" w:hAnsi="Arial" w:cs="Arial"/>
      <w:b/>
      <w:bCs/>
      <w:color w:val="1A1A1A"/>
      <w:sz w:val="32"/>
      <w:szCs w:val="32"/>
    </w:rPr>
  </w:style>
  <w:style w:type="paragraph" w:styleId="Heading2">
    <w:name w:val="heading 2"/>
    <w:uiPriority w:val="9"/>
    <w:unhideWhenUsed/>
    <w:qFormat/>
    <w:pPr>
      <w:spacing w:before="300" w:after="200"/>
      <w:outlineLvl w:val="1"/>
    </w:pPr>
    <w:rPr>
      <w:rFonts w:ascii="Arial" w:eastAsia="Arial" w:hAnsi="Arial" w:cs="Arial"/>
      <w:b/>
      <w:bCs/>
      <w:color w:val="2A2A2A"/>
      <w:sz w:val="28"/>
      <w:szCs w:val="28"/>
    </w:rPr>
  </w:style>
  <w:style w:type="paragraph" w:styleId="Heading3">
    <w:name w:val="heading 3"/>
    <w:uiPriority w:val="9"/>
    <w:unhideWhenUsed/>
    <w:qFormat/>
    <w:pPr>
      <w:spacing w:before="240" w:after="160"/>
      <w:outlineLvl w:val="2"/>
    </w:pPr>
    <w:rPr>
      <w:rFonts w:ascii="Arial" w:eastAsia="Arial" w:hAnsi="Arial" w:cs="Arial"/>
      <w:b/>
      <w:bCs/>
      <w:color w:val="3A3A3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rFonts w:ascii="Arial" w:eastAsia="Arial" w:hAnsi="Arial" w:cs="Arial"/>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97E2E"/>
    <w:pPr>
      <w:spacing w:after="100"/>
    </w:pPr>
  </w:style>
  <w:style w:type="paragraph" w:styleId="TOC2">
    <w:name w:val="toc 2"/>
    <w:basedOn w:val="Normal"/>
    <w:next w:val="Normal"/>
    <w:autoRedefine/>
    <w:uiPriority w:val="39"/>
    <w:unhideWhenUsed/>
    <w:rsid w:val="00B97E2E"/>
    <w:pPr>
      <w:spacing w:after="100"/>
      <w:ind w:left="240"/>
    </w:pPr>
  </w:style>
  <w:style w:type="paragraph" w:styleId="TOC3">
    <w:name w:val="toc 3"/>
    <w:basedOn w:val="Normal"/>
    <w:next w:val="Normal"/>
    <w:autoRedefine/>
    <w:uiPriority w:val="39"/>
    <w:unhideWhenUsed/>
    <w:rsid w:val="00B97E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12705</Words>
  <Characters>72424</Characters>
  <Application>Microsoft Office Word</Application>
  <DocSecurity>0</DocSecurity>
  <Lines>603</Lines>
  <Paragraphs>169</Paragraphs>
  <ScaleCrop>false</ScaleCrop>
  <Company/>
  <LinksUpToDate>false</LinksUpToDate>
  <CharactersWithSpaces>84960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ALTUNEL</cp:lastModifiedBy>
  <cp:revision>2</cp:revision>
  <dcterms:created xsi:type="dcterms:W3CDTF">2025-12-05T05:54:00Z</dcterms:created>
  <dcterms:modified xsi:type="dcterms:W3CDTF">2025-12-05T06:01:00Z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6f6488-6f7b-4340-b880-828136ff7811_Enabled">
    <vt:lpwstr>true</vt:lpwstr>
  </property>
  <property fmtid="{D5CDD505-2E9C-101B-9397-08002B2CF9AE}" pid="3" name="MSIP_Label_c66f6488-6f7b-4340-b880-828136ff7811_SetDate">
    <vt:lpwstr>2025-12-05T06:00:56Z</vt:lpwstr>
  </property>
  <property fmtid="{D5CDD505-2E9C-101B-9397-08002B2CF9AE}" pid="4" name="MSIP_Label_c66f6488-6f7b-4340-b880-828136ff7811_Method">
    <vt:lpwstr>Privileged</vt:lpwstr>
  </property>
  <property fmtid="{D5CDD505-2E9C-101B-9397-08002B2CF9AE}" pid="5" name="MSIP_Label_c66f6488-6f7b-4340-b880-828136ff7811_Name">
    <vt:lpwstr>c66f6488-6f7b-4340-b880-828136ff7811</vt:lpwstr>
  </property>
  <property fmtid="{D5CDD505-2E9C-101B-9397-08002B2CF9AE}" pid="6" name="MSIP_Label_c66f6488-6f7b-4340-b880-828136ff7811_SiteId">
    <vt:lpwstr>832c1bc9-1e43-4f93-a086-708d36b0c95d</vt:lpwstr>
  </property>
  <property fmtid="{D5CDD505-2E9C-101B-9397-08002B2CF9AE}" pid="7" name="MSIP_Label_c66f6488-6f7b-4340-b880-828136ff7811_ActionId">
    <vt:lpwstr>669238b6-85b2-468d-b183-341f73b13052</vt:lpwstr>
  </property>
  <property fmtid="{D5CDD505-2E9C-101B-9397-08002B2CF9AE}" pid="8" name="MSIP_Label_c66f6488-6f7b-4340-b880-828136ff7811_ContentBits">
    <vt:lpwstr>0</vt:lpwstr>
  </property>
</Properties>
</file>