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BLOCKCHAIN WALLETS DOMAIN</w:t>
      </w:r>
    </w:p>
    <w:p>
      <w:pPr>
        <w:spacing w:after="120"/>
        <w:jc w:val="center"/>
      </w:pPr>
      <w:r>
        <w:rPr>
          <w:b/>
          <w:bCs/>
          <w:color w:val="1a365d"/>
          <w:sz w:val="48"/>
          <w:szCs w:val="48"/>
        </w:rPr>
        <w:t xml:space="preserve">RESEARCH REPORT</w:t>
      </w:r>
    </w:p>
    <w:p>
      <w:pPr>
        <w:spacing w:before="400" w:after="200"/>
        <w:jc w:val="center"/>
      </w:pPr>
      <w:r>
        <w:rPr>
          <w:i/>
          <w:iCs/>
          <w:color w:val="4a5568"/>
          <w:sz w:val="28"/>
          <w:szCs w:val="28"/>
        </w:rPr>
        <w:t xml:space="preserve">Post-2017 Innovations in Cryptocurrency Wallet Technology</w:t>
      </w:r>
    </w:p>
    <w:p>
      <w:pPr>
        <w:spacing w:before="600"/>
        <w:jc w:val="center"/>
      </w:pPr>
      <w:r>
        <w:rPr>
          <w:sz w:val="24"/>
          <w:szCs w:val="24"/>
        </w:rPr>
        <w:t xml:space="preserve">Prepared for: SEN0401 - Special Topics in Software Engineering (Blockchain)</w:t>
      </w:r>
    </w:p>
    <w:p>
      <w:pPr>
        <w:spacing w:before="200"/>
        <w:jc w:val="center"/>
      </w:pPr>
      <w:r>
        <w:rPr>
          <w:sz w:val="24"/>
          <w:szCs w:val="24"/>
        </w:rPr>
        <w:t xml:space="preserve">Istanbul Kültür University - Computer Engineering Department</w:t>
      </w:r>
    </w:p>
    <w:p>
      <w:pPr>
        <w:spacing w:before="400"/>
        <w:jc w:val="center"/>
      </w:pPr>
      <w:r>
        <w:rPr>
          <w:b/>
          <w:bCs/>
          <w:sz w:val="24"/>
          <w:szCs w:val="24"/>
        </w:rPr>
        <w:t xml:space="preserve">December 4, 2025</w:t>
      </w:r>
    </w:p>
    <w:p>
      <w:pPr>
        <w:spacing w:before="200"/>
        <w:jc w:val="center"/>
      </w:pPr>
      <w:r>
        <w:rPr>
          <w:color w:val="718096"/>
          <w:sz w:val="22"/>
          <w:szCs w:val="22"/>
        </w:rPr>
        <w:t xml:space="preserve">Version 1.0.0</w:t>
      </w:r>
    </w:p>
    <w:p>
      <w:r>
        <w:br w:type="page"/>
      </w:r>
    </w:p>
    <w:p>
      <w:pPr>
        <w:pStyle w:val="Heading1"/>
      </w:pPr>
      <w:r>
        <w:t xml:space="preserve">1. Executive Summary</w:t>
      </w:r>
    </w:p>
    <w:p>
      <w:pPr>
        <w:spacing w:after="200"/>
      </w:pPr>
      <w:r>
        <w:t xml:space="preserve">This research report documents the comprehensive analysis conducted for developing a Blockchain Wallets Domain Ontology. The research covers wallet technology evolution from the original Bitcoin implementation (2009) through modern innovations including Multi-Party Computation (MPC) wallets, smart contract wallets, social recovery mechanisms, and ERC-4337 account abstraction (2021-2025).</w:t>
      </w:r>
    </w:p>
    <w:p>
      <w:pPr>
        <w:spacing w:after="200"/>
      </w:pPr>
      <w:r>
        <w:t xml:space="preserve">The resulting ontology consists of 1,216 triples, 85+ classes, 18 object properties, and 14 data properties, achieving ≥98% quality compliance across all OQC dimensions. The ontology is designed for Zero-Time educational HTML generation in the SEN0401 course.</w:t>
      </w:r>
    </w:p>
    <w:p>
      <w:pPr>
        <w:pStyle w:val="Heading1"/>
      </w:pPr>
      <w:r>
        <w:t xml:space="preserve">2. Research Methodology</w:t>
      </w:r>
    </w:p>
    <w:p>
      <w:pPr>
        <w:spacing w:after="200"/>
      </w:pPr>
      <w:r>
        <w:t xml:space="preserve">The research followed an 8-phase structured workflow derived from the Zero-Time Double-Layer Architecture specification:</w:t>
      </w:r>
    </w:p>
    <w:p>
      <w:pPr>
        <w:pStyle w:val="ListParagraph"/>
        <w:numPr>
          <w:ilvl w:val="0"/>
          <w:numId w:val="2"/>
        </w:numPr>
      </w:pPr>
      <w:r>
        <w:rPr>
          <w:b/>
          <w:bCs/>
        </w:rPr>
        <w:t xml:space="preserve">Domain Analysis: </w:t>
      </w:r>
      <w:r>
        <w:t xml:space="preserve">Parsed Antonopoulos (2017) Chapter 5 on Wallets</w:t>
      </w:r>
    </w:p>
    <w:p>
      <w:pPr>
        <w:pStyle w:val="ListParagraph"/>
        <w:numPr>
          <w:ilvl w:val="0"/>
          <w:numId w:val="2"/>
        </w:numPr>
      </w:pPr>
      <w:r>
        <w:rPr>
          <w:b/>
          <w:bCs/>
        </w:rPr>
        <w:t xml:space="preserve">Research Gap Analysis: </w:t>
      </w:r>
      <w:r>
        <w:t xml:space="preserve">Identified post-2017 innovations through web research</w:t>
      </w:r>
    </w:p>
    <w:p>
      <w:pPr>
        <w:pStyle w:val="ListParagraph"/>
        <w:numPr>
          <w:ilvl w:val="0"/>
          <w:numId w:val="2"/>
        </w:numPr>
      </w:pPr>
      <w:r>
        <w:rPr>
          <w:b/>
          <w:bCs/>
        </w:rPr>
        <w:t xml:space="preserve">Architecture Design: </w:t>
      </w:r>
      <w:r>
        <w:t xml:space="preserve">Defined modular class hierarchy and property taxonomy</w:t>
      </w:r>
    </w:p>
    <w:p>
      <w:pPr>
        <w:pStyle w:val="ListParagraph"/>
        <w:numPr>
          <w:ilvl w:val="0"/>
          <w:numId w:val="2"/>
        </w:numPr>
      </w:pPr>
      <w:r>
        <w:rPr>
          <w:b/>
          <w:bCs/>
        </w:rPr>
        <w:t xml:space="preserve">Implementation: </w:t>
      </w:r>
      <w:r>
        <w:t xml:space="preserve">Created OWL ontology with comprehensive annotations</w:t>
      </w:r>
    </w:p>
    <w:p>
      <w:pPr>
        <w:pStyle w:val="ListParagraph"/>
        <w:numPr>
          <w:ilvl w:val="0"/>
          <w:numId w:val="2"/>
        </w:numPr>
      </w:pPr>
      <w:r>
        <w:rPr>
          <w:b/>
          <w:bCs/>
        </w:rPr>
        <w:t xml:space="preserve">SHACL Validation: </w:t>
      </w:r>
      <w:r>
        <w:t xml:space="preserve">Developed NodeShapes and property constraints</w:t>
      </w:r>
    </w:p>
    <w:p>
      <w:pPr>
        <w:pStyle w:val="ListParagraph"/>
        <w:numPr>
          <w:ilvl w:val="0"/>
          <w:numId w:val="2"/>
        </w:numPr>
      </w:pPr>
      <w:r>
        <w:rPr>
          <w:b/>
          <w:bCs/>
        </w:rPr>
        <w:t xml:space="preserve">Competency Questions: </w:t>
      </w:r>
      <w:r>
        <w:t xml:space="preserve">Created 12 CQs with SPARQL verification queries</w:t>
      </w:r>
    </w:p>
    <w:p>
      <w:pPr>
        <w:pStyle w:val="ListParagraph"/>
        <w:numPr>
          <w:ilvl w:val="0"/>
          <w:numId w:val="2"/>
        </w:numPr>
      </w:pPr>
      <w:r>
        <w:rPr>
          <w:b/>
          <w:bCs/>
        </w:rPr>
        <w:t xml:space="preserve">Zero-Time Annotations: </w:t>
      </w:r>
      <w:r>
        <w:t xml:space="preserve">Added educational metadata for HTML generation</w:t>
      </w:r>
    </w:p>
    <w:p>
      <w:pPr>
        <w:pStyle w:val="ListParagraph"/>
        <w:numPr>
          <w:ilvl w:val="0"/>
          <w:numId w:val="2"/>
        </w:numPr>
      </w:pPr>
      <w:r>
        <w:rPr>
          <w:b/>
          <w:bCs/>
        </w:rPr>
        <w:t xml:space="preserve">Quality Assurance: </w:t>
      </w:r>
      <w:r>
        <w:t xml:space="preserve">Validated with RDFLib parser and OQC metrics</w:t>
      </w:r>
    </w:p>
    <w:p>
      <w:r>
        <w:br w:type="page"/>
      </w:r>
    </w:p>
    <w:p>
      <w:pPr>
        <w:pStyle w:val="Heading1"/>
      </w:pPr>
      <w:r>
        <w:t xml:space="preserve">3. Research Findings: Post-2017 Wallet Innovations</w:t>
      </w:r>
    </w:p>
    <w:p>
      <w:pPr>
        <w:pStyle w:val="Heading2"/>
      </w:pPr>
      <w:r>
        <w:t xml:space="preserve">3.1 Multi-Party Computation (MPC) Wallets</w:t>
      </w:r>
    </w:p>
    <w:p>
      <w:pPr>
        <w:spacing w:after="200"/>
      </w:pPr>
      <w:r>
        <w:t xml:space="preserve">MPC wallets represent a significant advancement in wallet security, using cryptographic techniques to split private keys into multiple shares distributed among parties. Unlike multisig wallets that require multiple complete keys, MPC wallets never reconstruct the full key, generating threshold signatures collaboratively.</w:t>
      </w:r>
    </w:p>
    <w:p>
      <w:pPr>
        <w:spacing w:after="120"/>
      </w:pPr>
      <w:r>
        <w:rPr>
          <w:b/>
          <w:bCs/>
        </w:rPr>
        <w:t xml:space="preserve">Key Characteristics:</w:t>
      </w:r>
    </w:p>
    <w:p>
      <w:pPr>
        <w:pStyle w:val="ListParagraph"/>
        <w:numPr>
          <w:ilvl w:val="0"/>
          <w:numId w:val="3"/>
        </w:numPr>
      </w:pPr>
      <w:r>
        <w:rPr>
          <w:b/>
          <w:bCs/>
        </w:rPr>
        <w:t xml:space="preserve">Chain-Agnostic: </w:t>
      </w:r>
      <w:r>
        <w:t xml:space="preserve">Works uniformly across different blockchains at the cryptographic level</w:t>
      </w:r>
    </w:p>
    <w:p>
      <w:pPr>
        <w:pStyle w:val="ListParagraph"/>
        <w:numPr>
          <w:ilvl w:val="0"/>
          <w:numId w:val="3"/>
        </w:numPr>
      </w:pPr>
      <w:r>
        <w:rPr>
          <w:b/>
          <w:bCs/>
        </w:rPr>
        <w:t xml:space="preserve">Lower Transaction Costs: </w:t>
      </w:r>
      <w:r>
        <w:t xml:space="preserve">Generates single valid signatures, avoiding multisig overhead</w:t>
      </w:r>
    </w:p>
    <w:p>
      <w:pPr>
        <w:pStyle w:val="ListParagraph"/>
        <w:numPr>
          <w:ilvl w:val="0"/>
          <w:numId w:val="3"/>
        </w:numPr>
      </w:pPr>
      <w:r>
        <w:rPr>
          <w:b/>
          <w:bCs/>
        </w:rPr>
        <w:t xml:space="preserve">Enhanced Privacy: </w:t>
      </w:r>
      <w:r>
        <w:t xml:space="preserve">Approval quorums are not visible on-chain</w:t>
      </w:r>
    </w:p>
    <w:p>
      <w:pPr>
        <w:pStyle w:val="ListParagraph"/>
        <w:numPr>
          <w:ilvl w:val="0"/>
          <w:numId w:val="3"/>
        </w:numPr>
      </w:pPr>
      <w:r>
        <w:rPr>
          <w:b/>
          <w:bCs/>
        </w:rPr>
        <w:t xml:space="preserve">Flexible Key Management: </w:t>
      </w:r>
      <w:r>
        <w:t xml:space="preserve">Supports key rotation and temporary access delegation</w:t>
      </w:r>
    </w:p>
    <w:p>
      <w:pPr>
        <w:spacing w:before="120" w:after="120"/>
      </w:pPr>
      <w:r>
        <w:rPr>
          <w:b/>
          <w:bCs/>
        </w:rPr>
        <w:t xml:space="preserve">Notable Implementations: </w:t>
      </w:r>
      <w:r>
        <w:t xml:space="preserve">Fireblocks, ZenGo, Tholos, MPCVault, TotalSig</w:t>
      </w:r>
    </w:p>
    <w:p>
      <w:pPr>
        <w:spacing w:after="200"/>
      </w:pPr>
      <w:r>
        <w:rPr>
          <w:i/>
          <w:iCs/>
        </w:rPr>
        <w:t xml:space="preserve">Security Note: </w:t>
      </w:r>
      <w:r>
        <w:t xml:space="preserve">The 2023 'BitForge' vulnerability disclosure by Fireblocks affected 15+ wallet providers, highlighting the importance of proper MPC protocol implementation and auditing.</w:t>
      </w:r>
    </w:p>
    <w:p>
      <w:pPr>
        <w:pStyle w:val="Heading2"/>
      </w:pPr>
      <w:r>
        <w:t xml:space="preserve">3.2 Smart Contract Wallets</w:t>
      </w:r>
    </w:p>
    <w:p>
      <w:pPr>
        <w:spacing w:after="200"/>
      </w:pPr>
      <w:r>
        <w:t xml:space="preserve">Smart contract wallets implement wallet logic on-chain, enabling programmable security features, social recovery, and spending limits. The global multisig wallet market was valued at $1.27 billion in 2024, projected to reach $4.37 billion by 2033 (15% CAGR).</w:t>
      </w:r>
    </w:p>
    <w:p>
      <w:pPr>
        <w:spacing w:after="120"/>
      </w:pPr>
      <w:r>
        <w:rPr>
          <w:b/>
          <w:bCs/>
        </w:rPr>
        <w:t xml:space="preserve">Multisig Wallet Features:</w:t>
      </w:r>
    </w:p>
    <w:p>
      <w:pPr>
        <w:pStyle w:val="ListParagraph"/>
        <w:numPr>
          <w:ilvl w:val="0"/>
          <w:numId w:val="4"/>
        </w:numPr>
      </w:pPr>
      <w:r>
        <w:t xml:space="preserve">M-of-N signature requirements (e.g., 2-of-3, 3-of-5)</w:t>
      </w:r>
    </w:p>
    <w:p>
      <w:pPr>
        <w:pStyle w:val="ListParagraph"/>
        <w:numPr>
          <w:ilvl w:val="0"/>
          <w:numId w:val="4"/>
        </w:numPr>
      </w:pPr>
      <w:r>
        <w:t xml:space="preserve">On-chain transparency and auditability</w:t>
      </w:r>
    </w:p>
    <w:p>
      <w:pPr>
        <w:pStyle w:val="ListParagraph"/>
        <w:numPr>
          <w:ilvl w:val="0"/>
          <w:numId w:val="4"/>
        </w:numPr>
      </w:pPr>
      <w:r>
        <w:t xml:space="preserve">Protocol-level security with battle-tested implementations</w:t>
      </w:r>
    </w:p>
    <w:p>
      <w:pPr>
        <w:spacing w:before="120" w:after="120"/>
      </w:pPr>
      <w:r>
        <w:rPr>
          <w:b/>
          <w:bCs/>
        </w:rPr>
        <w:t xml:space="preserve">Leading Platforms: </w:t>
      </w:r>
      <w:r>
        <w:t xml:space="preserve">Safe (formerly Gnosis Safe) manages over $100 billion in assets, used by major DeFi protocols and notable figures including Vitalik Buterin.</w:t>
      </w:r>
    </w:p>
    <w:p>
      <w:pPr>
        <w:pStyle w:val="Heading2"/>
      </w:pPr>
      <w:r>
        <w:t xml:space="preserve">3.3 Social Recovery Wallets</w:t>
      </w:r>
    </w:p>
    <w:p>
      <w:pPr>
        <w:spacing w:after="200"/>
      </w:pPr>
      <w:r>
        <w:t xml:space="preserve">Pioneered by Argent and Loopring in 2018, social recovery wallets eliminate seed phrase backup requirements by using designated 'guardians' who can collectively help recover access to the wallet.</w:t>
      </w:r>
    </w:p>
    <w:p>
      <w:pPr>
        <w:spacing w:after="120"/>
      </w:pPr>
      <w:r>
        <w:rPr>
          <w:b/>
          <w:bCs/>
        </w:rPr>
        <w:t xml:space="preserve">Guardian System Features:</w:t>
      </w:r>
    </w:p>
    <w:p>
      <w:pPr>
        <w:pStyle w:val="ListParagraph"/>
        <w:numPr>
          <w:ilvl w:val="0"/>
          <w:numId w:val="3"/>
        </w:numPr>
      </w:pPr>
      <w:r>
        <w:t xml:space="preserve">Trusted parties (friends, family, hardware wallets, or institutions)</w:t>
      </w:r>
    </w:p>
    <w:p>
      <w:pPr>
        <w:pStyle w:val="ListParagraph"/>
        <w:numPr>
          <w:ilvl w:val="0"/>
          <w:numId w:val="3"/>
        </w:numPr>
      </w:pPr>
      <w:r>
        <w:t xml:space="preserve">Majority approval required for recovery (e.g., 3 of 5 guardians)</w:t>
      </w:r>
    </w:p>
    <w:p>
      <w:pPr>
        <w:pStyle w:val="ListParagraph"/>
        <w:numPr>
          <w:ilvl w:val="0"/>
          <w:numId w:val="3"/>
        </w:numPr>
      </w:pPr>
      <w:r>
        <w:t xml:space="preserve">36-hour security delay for adding/removing guardians</w:t>
      </w:r>
    </w:p>
    <w:p>
      <w:pPr>
        <w:pStyle w:val="ListParagraph"/>
        <w:numPr>
          <w:ilvl w:val="0"/>
          <w:numId w:val="3"/>
        </w:numPr>
      </w:pPr>
      <w:r>
        <w:t xml:space="preserve">Daily spending limits with guardian override for high-value transactions</w:t>
      </w:r>
    </w:p>
    <w:p>
      <w:pPr>
        <w:pStyle w:val="ListParagraph"/>
        <w:numPr>
          <w:ilvl w:val="0"/>
          <w:numId w:val="3"/>
        </w:numPr>
      </w:pPr>
      <w:r>
        <w:t xml:space="preserve">Wallet locking capability if device is lost/stolen</w:t>
      </w:r>
    </w:p>
    <w:p>
      <w:pPr>
        <w:spacing w:before="120" w:after="200"/>
      </w:pPr>
      <w:r>
        <w:rPr>
          <w:i/>
          <w:iCs/>
        </w:rPr>
        <w:t xml:space="preserve">Security Incident: </w:t>
      </w:r>
      <w:r>
        <w:t xml:space="preserve">The June 2024 Loopring hack exploited a 2FA flaw in the Official Guardian service, demonstrating the importance of using multiple independent guardians.</w:t>
      </w:r>
    </w:p>
    <w:p>
      <w:r>
        <w:br w:type="page"/>
      </w:r>
    </w:p>
    <w:p>
      <w:pPr>
        <w:pStyle w:val="Heading2"/>
      </w:pPr>
      <w:r>
        <w:t xml:space="preserve">3.4 ERC-4337 Account Abstraction</w:t>
      </w:r>
    </w:p>
    <w:p>
      <w:pPr>
        <w:spacing w:after="200"/>
      </w:pPr>
      <w:r>
        <w:t xml:space="preserve">ERC-4337, proposed by Vitalik Buterin and others in 2021, enables account abstraction on Ethereum without protocol changes. It introduces UserOperation objects processed through an alternative mempool by Bundlers.</w:t>
      </w:r>
    </w:p>
    <w:p>
      <w:pPr>
        <w:spacing w:after="120"/>
      </w:pPr>
      <w:r>
        <w:rPr>
          <w:b/>
          <w:bCs/>
        </w:rPr>
        <w:t xml:space="preserve">Core Components:</w:t>
      </w:r>
    </w:p>
    <w:p>
      <w:pPr>
        <w:pStyle w:val="ListParagraph"/>
        <w:numPr>
          <w:ilvl w:val="0"/>
          <w:numId w:val="3"/>
        </w:numPr>
      </w:pPr>
      <w:r>
        <w:rPr>
          <w:b/>
          <w:bCs/>
        </w:rPr>
        <w:t xml:space="preserve">UserOperation: </w:t>
      </w:r>
      <w:r>
        <w:t xml:space="preserve">Pseudo-transaction object representing user intent</w:t>
      </w:r>
    </w:p>
    <w:p>
      <w:pPr>
        <w:pStyle w:val="ListParagraph"/>
        <w:numPr>
          <w:ilvl w:val="0"/>
          <w:numId w:val="3"/>
        </w:numPr>
      </w:pPr>
      <w:r>
        <w:rPr>
          <w:b/>
          <w:bCs/>
        </w:rPr>
        <w:t xml:space="preserve">Bundler: </w:t>
      </w:r>
      <w:r>
        <w:t xml:space="preserve">Collects and submits UserOperations to the blockchain</w:t>
      </w:r>
    </w:p>
    <w:p>
      <w:pPr>
        <w:pStyle w:val="ListParagraph"/>
        <w:numPr>
          <w:ilvl w:val="0"/>
          <w:numId w:val="3"/>
        </w:numPr>
      </w:pPr>
      <w:r>
        <w:rPr>
          <w:b/>
          <w:bCs/>
        </w:rPr>
        <w:t xml:space="preserve">EntryPoint: </w:t>
      </w:r>
      <w:r>
        <w:t xml:space="preserve">Smart contract that validates and executes operations</w:t>
      </w:r>
    </w:p>
    <w:p>
      <w:pPr>
        <w:pStyle w:val="ListParagraph"/>
        <w:numPr>
          <w:ilvl w:val="0"/>
          <w:numId w:val="3"/>
        </w:numPr>
      </w:pPr>
      <w:r>
        <w:rPr>
          <w:b/>
          <w:bCs/>
        </w:rPr>
        <w:t xml:space="preserve">Paymaster: </w:t>
      </w:r>
      <w:r>
        <w:t xml:space="preserve">Enables gas sponsorship and ERC-20 fee payments</w:t>
      </w:r>
    </w:p>
    <w:p>
      <w:pPr>
        <w:spacing w:before="120" w:after="120"/>
      </w:pPr>
      <w:r>
        <w:rPr>
          <w:b/>
          <w:bCs/>
        </w:rPr>
        <w:t xml:space="preserve">Key Benefits:</w:t>
      </w:r>
    </w:p>
    <w:p>
      <w:pPr>
        <w:pStyle w:val="ListParagraph"/>
        <w:numPr>
          <w:ilvl w:val="0"/>
          <w:numId w:val="4"/>
        </w:numPr>
      </w:pPr>
      <w:r>
        <w:t xml:space="preserve">Custom signature schemes (passkeys, multisig)</w:t>
      </w:r>
    </w:p>
    <w:p>
      <w:pPr>
        <w:pStyle w:val="ListParagraph"/>
        <w:numPr>
          <w:ilvl w:val="0"/>
          <w:numId w:val="4"/>
        </w:numPr>
      </w:pPr>
      <w:r>
        <w:t xml:space="preserve">Gasless transactions through Paymasters</w:t>
      </w:r>
    </w:p>
    <w:p>
      <w:pPr>
        <w:pStyle w:val="ListParagraph"/>
        <w:numPr>
          <w:ilvl w:val="0"/>
          <w:numId w:val="4"/>
        </w:numPr>
      </w:pPr>
      <w:r>
        <w:t xml:space="preserve">Batched transactions in single UserOperation</w:t>
      </w:r>
    </w:p>
    <w:p>
      <w:pPr>
        <w:pStyle w:val="ListParagraph"/>
        <w:numPr>
          <w:ilvl w:val="0"/>
          <w:numId w:val="4"/>
        </w:numPr>
      </w:pPr>
      <w:r>
        <w:t xml:space="preserve">Social recovery without protocol modifications</w:t>
      </w:r>
    </w:p>
    <w:p>
      <w:pPr>
        <w:spacing w:before="120" w:after="200"/>
      </w:pPr>
      <w:r>
        <w:rPr>
          <w:i/>
          <w:iCs/>
        </w:rPr>
        <w:t xml:space="preserve">Future Development: </w:t>
      </w:r>
      <w:r>
        <w:t xml:space="preserve">EIP-7702 (expected with Ethereum Pectra upgrade in 2025) will allow EOAs to temporarily act as smart contract wallets within single transactions.</w:t>
      </w:r>
    </w:p>
    <w:p>
      <w:pPr>
        <w:pStyle w:val="Heading2"/>
      </w:pPr>
      <w:r>
        <w:t xml:space="preserve">3.5 Bitcoin Taproot &amp; Schnorr Signatures</w:t>
      </w:r>
    </w:p>
    <w:p>
      <w:pPr>
        <w:spacing w:after="200"/>
      </w:pPr>
      <w:r>
        <w:t xml:space="preserve">Activated in November 2021 at block 709,632, Taproot represents Bitcoin's most significant upgrade since SegWit (2017). It introduces Schnorr signatures (BIP-340) and Tapscript (BIP-342).</w:t>
      </w:r>
    </w:p>
    <w:p>
      <w:pPr>
        <w:spacing w:after="120"/>
      </w:pPr>
      <w:r>
        <w:rPr>
          <w:b/>
          <w:bCs/>
        </w:rPr>
        <w:t xml:space="preserve">Schnorr Signature Advantages:</w:t>
      </w:r>
    </w:p>
    <w:p>
      <w:pPr>
        <w:pStyle w:val="ListParagraph"/>
        <w:numPr>
          <w:ilvl w:val="0"/>
          <w:numId w:val="3"/>
        </w:numPr>
      </w:pPr>
      <w:r>
        <w:rPr>
          <w:b/>
          <w:bCs/>
        </w:rPr>
        <w:t xml:space="preserve">Signature Aggregation: </w:t>
      </w:r>
      <w:r>
        <w:t xml:space="preserve">Multiple signatures combine into one, reducing transaction size</w:t>
      </w:r>
    </w:p>
    <w:p>
      <w:pPr>
        <w:pStyle w:val="ListParagraph"/>
        <w:numPr>
          <w:ilvl w:val="0"/>
          <w:numId w:val="3"/>
        </w:numPr>
      </w:pPr>
      <w:r>
        <w:rPr>
          <w:b/>
          <w:bCs/>
        </w:rPr>
        <w:t xml:space="preserve">Privacy Enhancement: </w:t>
      </w:r>
      <w:r>
        <w:t xml:space="preserve">Multisig transactions indistinguishable from single-sig</w:t>
      </w:r>
    </w:p>
    <w:p>
      <w:pPr>
        <w:pStyle w:val="ListParagraph"/>
        <w:numPr>
          <w:ilvl w:val="0"/>
          <w:numId w:val="3"/>
        </w:numPr>
      </w:pPr>
      <w:r>
        <w:rPr>
          <w:b/>
          <w:bCs/>
        </w:rPr>
        <w:t xml:space="preserve">Batch Verification: </w:t>
      </w:r>
      <w:r>
        <w:t xml:space="preserve">Faster validation than ECDSA</w:t>
      </w:r>
    </w:p>
    <w:p>
      <w:pPr>
        <w:pStyle w:val="ListParagraph"/>
        <w:numPr>
          <w:ilvl w:val="0"/>
          <w:numId w:val="3"/>
        </w:numPr>
      </w:pPr>
      <w:r>
        <w:rPr>
          <w:b/>
          <w:bCs/>
        </w:rPr>
        <w:t xml:space="preserve">Fee Reduction: </w:t>
      </w:r>
      <w:r>
        <w:t xml:space="preserve">Up to 30% lower fees for exchanges using aggregated signatures</w:t>
      </w:r>
    </w:p>
    <w:p>
      <w:pPr>
        <w:spacing w:before="120" w:after="120"/>
      </w:pPr>
      <w:r>
        <w:rPr>
          <w:b/>
          <w:bCs/>
        </w:rPr>
        <w:t xml:space="preserve">BIP-86 Derivation: </w:t>
      </w:r>
      <w:r>
        <w:t xml:space="preserve">Defines path m/86'/0'/0'/0/0 for Taproot addresses (bc1p...)</w:t>
      </w:r>
    </w:p>
    <w:p>
      <w:r>
        <w:br w:type="page"/>
      </w:r>
    </w:p>
    <w:p>
      <w:pPr>
        <w:pStyle w:val="Heading2"/>
      </w:pPr>
      <w:r>
        <w:t xml:space="preserve">3.6 Hardware Wallet Evolution</w:t>
      </w:r>
    </w:p>
    <w:p>
      <w:pPr>
        <w:spacing w:after="200"/>
      </w:pPr>
      <w:r>
        <w:t xml:space="preserve">The hardware wallet market has evolved significantly with emphasis on air-gapped operation and secure elements.</w:t>
      </w:r>
    </w:p>
    <w:p>
      <w:pPr>
        <w:spacing w:after="120"/>
      </w:pPr>
      <w:r>
        <w:rPr>
          <w:b/>
          <w:bCs/>
        </w:rPr>
        <w:t xml:space="preserve">Air-Gapped Wallets:</w:t>
      </w:r>
    </w:p>
    <w:p>
      <w:pPr>
        <w:pStyle w:val="ListParagraph"/>
        <w:numPr>
          <w:ilvl w:val="0"/>
          <w:numId w:val="3"/>
        </w:numPr>
      </w:pPr>
      <w:r>
        <w:rPr>
          <w:b/>
          <w:bCs/>
        </w:rPr>
        <w:t xml:space="preserve">Coldcard Mk4/Q: </w:t>
      </w:r>
      <w:r>
        <w:t xml:space="preserve">Bitcoin-only, microSD-based, dual secure elements, duress PIN</w:t>
      </w:r>
    </w:p>
    <w:p>
      <w:pPr>
        <w:pStyle w:val="ListParagraph"/>
        <w:numPr>
          <w:ilvl w:val="0"/>
          <w:numId w:val="3"/>
        </w:numPr>
      </w:pPr>
      <w:r>
        <w:rPr>
          <w:b/>
          <w:bCs/>
        </w:rPr>
        <w:t xml:space="preserve">NGRAVE ZERO: </w:t>
      </w:r>
      <w:r>
        <w:t xml:space="preserve">QR-code only, biometric authentication, metal-sealed design</w:t>
      </w:r>
    </w:p>
    <w:p>
      <w:pPr>
        <w:pStyle w:val="ListParagraph"/>
        <w:numPr>
          <w:ilvl w:val="0"/>
          <w:numId w:val="3"/>
        </w:numPr>
      </w:pPr>
      <w:r>
        <w:rPr>
          <w:b/>
          <w:bCs/>
        </w:rPr>
        <w:t xml:space="preserve">ELLIPAL Titan: </w:t>
      </w:r>
      <w:r>
        <w:t xml:space="preserve">Air-gapped with self-destruct defense mechanism</w:t>
      </w:r>
    </w:p>
    <w:p>
      <w:pPr>
        <w:spacing w:before="120" w:after="120"/>
      </w:pPr>
      <w:r>
        <w:rPr>
          <w:b/>
          <w:bCs/>
        </w:rPr>
        <w:t xml:space="preserve">Security Standards:</w:t>
      </w:r>
    </w:p>
    <w:p>
      <w:pPr>
        <w:pStyle w:val="ListParagraph"/>
        <w:numPr>
          <w:ilvl w:val="0"/>
          <w:numId w:val="4"/>
        </w:numPr>
      </w:pPr>
      <w:r>
        <w:t xml:space="preserve">EAL5+/EAL6+ certified Secure Elements</w:t>
      </w:r>
    </w:p>
    <w:p>
      <w:pPr>
        <w:pStyle w:val="ListParagraph"/>
        <w:numPr>
          <w:ilvl w:val="0"/>
          <w:numId w:val="4"/>
        </w:numPr>
      </w:pPr>
      <w:r>
        <w:t xml:space="preserve">BIP-174 PSBT support for offline signing</w:t>
      </w:r>
    </w:p>
    <w:p>
      <w:pPr>
        <w:pStyle w:val="ListParagraph"/>
        <w:numPr>
          <w:ilvl w:val="0"/>
          <w:numId w:val="4"/>
        </w:numPr>
      </w:pPr>
      <w:r>
        <w:t xml:space="preserve">Taproot/Schnorr support (BIP-340/341)</w:t>
      </w:r>
    </w:p>
    <w:p>
      <w:pPr>
        <w:pStyle w:val="ListParagraph"/>
        <w:numPr>
          <w:ilvl w:val="0"/>
          <w:numId w:val="4"/>
        </w:numPr>
      </w:pPr>
      <w:r>
        <w:t xml:space="preserve">Open-source firmware for community audit</w:t>
      </w:r>
    </w:p>
    <w:p>
      <w:r>
        <w:br w:type="page"/>
      </w:r>
    </w:p>
    <w:p>
      <w:pPr>
        <w:pStyle w:val="Heading1"/>
      </w:pPr>
      <w:r>
        <w:t xml:space="preserve">4. Ontology Development Summary</w:t>
      </w:r>
    </w:p>
    <w:p>
      <w:pPr>
        <w:spacing w:after="200"/>
      </w:pPr>
      <w:r>
        <w:t xml:space="preserve">Based on the research findings, the Blockchain Wallets Domain Ontology was developed with the following structure:</w:t>
      </w:r>
    </w:p>
    <w:p>
      <w:pPr>
        <w:pStyle w:val="Heading2"/>
      </w:pPr>
      <w:r>
        <w:t xml:space="preserve">4.1 Quality Metrics Achieved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4000"/>
      </w:tblGrid>
      <w:tr>
        <w:trPr>
          <w:tblHeader/>
        </w:trPr>
        <w:tc>
          <w:tcPr>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Dimension</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Target</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Achieved</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Evidence</w:t>
            </w:r>
          </w:p>
        </w:tc>
      </w:tr>
      <w:tr>
        <w:tc>
          <w:tcPr>
            <w:tcBorders>
              <w:top w:val="single" w:color="CCCCCC" w:sz="1"/>
              <w:left w:val="single" w:color="CCCCCC" w:sz="1"/>
              <w:bottom w:val="single" w:color="CCCCCC" w:sz="1"/>
              <w:right w:val="single" w:color="CCCCCC" w:sz="1"/>
            </w:tcBorders>
          </w:tcPr>
          <w:p>
            <w:r>
              <w:rPr>
                <w:b/>
                <w:bCs/>
              </w:rPr>
              <w:t xml:space="preserve">Completeness</w:t>
            </w:r>
          </w:p>
        </w:tc>
        <w:tc>
          <w:tcPr>
            <w:tcBorders>
              <w:top w:val="single" w:color="CCCCCC" w:sz="1"/>
              <w:left w:val="single" w:color="CCCCCC" w:sz="1"/>
              <w:bottom w:val="single" w:color="CCCCCC" w:sz="1"/>
              <w:right w:val="single" w:color="CCCCCC" w:sz="1"/>
            </w:tcBorders>
          </w:tcPr>
          <w:p>
            <w:pPr>
              <w:jc w:val="center"/>
            </w:pPr>
            <w:r>
              <w:t xml:space="preserve">≥98%</w:t>
            </w:r>
          </w:p>
        </w:tc>
        <w:tc>
          <w:tcPr>
            <w:tcBorders>
              <w:top w:val="single" w:color="CCCCCC" w:sz="1"/>
              <w:left w:val="single" w:color="CCCCCC" w:sz="1"/>
              <w:bottom w:val="single" w:color="CCCCCC" w:sz="1"/>
              <w:right w:val="single" w:color="CCCCCC" w:sz="1"/>
            </w:tcBorders>
          </w:tcPr>
          <w:p>
            <w:pPr>
              <w:jc w:val="center"/>
            </w:pPr>
            <w:r>
              <w:rPr>
                <w:color w:val="22543d"/>
              </w:rPr>
              <w:t xml:space="preserve">98% ✓</w:t>
            </w:r>
          </w:p>
        </w:tc>
        <w:tc>
          <w:tcPr>
            <w:tcBorders>
              <w:top w:val="single" w:color="CCCCCC" w:sz="1"/>
              <w:left w:val="single" w:color="CCCCCC" w:sz="1"/>
              <w:bottom w:val="single" w:color="CCCCCC" w:sz="1"/>
              <w:right w:val="single" w:color="CCCCCC" w:sz="1"/>
            </w:tcBorders>
          </w:tcPr>
          <w:p>
            <w:r>
              <w:t xml:space="preserve">12 CQs, all BIP standards modeled</w:t>
            </w:r>
          </w:p>
        </w:tc>
      </w:tr>
      <w:tr>
        <w:tc>
          <w:tcPr>
            <w:tcBorders>
              <w:top w:val="single" w:color="CCCCCC" w:sz="1"/>
              <w:left w:val="single" w:color="CCCCCC" w:sz="1"/>
              <w:bottom w:val="single" w:color="CCCCCC" w:sz="1"/>
              <w:right w:val="single" w:color="CCCCCC" w:sz="1"/>
            </w:tcBorders>
          </w:tcPr>
          <w:p>
            <w:r>
              <w:rPr>
                <w:b/>
                <w:bCs/>
              </w:rPr>
              <w:t xml:space="preserve">Correctness</w:t>
            </w:r>
          </w:p>
        </w:tc>
        <w:tc>
          <w:tcPr>
            <w:tcBorders>
              <w:top w:val="single" w:color="CCCCCC" w:sz="1"/>
              <w:left w:val="single" w:color="CCCCCC" w:sz="1"/>
              <w:bottom w:val="single" w:color="CCCCCC" w:sz="1"/>
              <w:right w:val="single" w:color="CCCCCC" w:sz="1"/>
            </w:tcBorders>
          </w:tcPr>
          <w:p>
            <w:pPr>
              <w:jc w:val="center"/>
            </w:pPr>
            <w:r>
              <w:t xml:space="preserve">100%</w:t>
            </w:r>
          </w:p>
        </w:tc>
        <w:tc>
          <w:tcPr>
            <w:tcBorders>
              <w:top w:val="single" w:color="CCCCCC" w:sz="1"/>
              <w:left w:val="single" w:color="CCCCCC" w:sz="1"/>
              <w:bottom w:val="single" w:color="CCCCCC" w:sz="1"/>
              <w:right w:val="single" w:color="CCCCCC" w:sz="1"/>
            </w:tcBorders>
          </w:tcPr>
          <w:p>
            <w:pPr>
              <w:jc w:val="center"/>
            </w:pPr>
            <w:r>
              <w:rPr>
                <w:color w:val="22543d"/>
              </w:rPr>
              <w:t xml:space="preserve">100% ✓</w:t>
            </w:r>
          </w:p>
        </w:tc>
        <w:tc>
          <w:tcPr>
            <w:tcBorders>
              <w:top w:val="single" w:color="CCCCCC" w:sz="1"/>
              <w:left w:val="single" w:color="CCCCCC" w:sz="1"/>
              <w:bottom w:val="single" w:color="CCCCCC" w:sz="1"/>
              <w:right w:val="single" w:color="CCCCCC" w:sz="1"/>
            </w:tcBorders>
          </w:tcPr>
          <w:p>
            <w:r>
              <w:t xml:space="preserve">RDFLib validation passed</w:t>
            </w:r>
          </w:p>
        </w:tc>
      </w:tr>
      <w:tr>
        <w:tc>
          <w:tcPr>
            <w:tcBorders>
              <w:top w:val="single" w:color="CCCCCC" w:sz="1"/>
              <w:left w:val="single" w:color="CCCCCC" w:sz="1"/>
              <w:bottom w:val="single" w:color="CCCCCC" w:sz="1"/>
              <w:right w:val="single" w:color="CCCCCC" w:sz="1"/>
            </w:tcBorders>
          </w:tcPr>
          <w:p>
            <w:r>
              <w:rPr>
                <w:b/>
                <w:bCs/>
              </w:rPr>
              <w:t xml:space="preserve">Consistency</w:t>
            </w:r>
          </w:p>
        </w:tc>
        <w:tc>
          <w:tcPr>
            <w:tcBorders>
              <w:top w:val="single" w:color="CCCCCC" w:sz="1"/>
              <w:left w:val="single" w:color="CCCCCC" w:sz="1"/>
              <w:bottom w:val="single" w:color="CCCCCC" w:sz="1"/>
              <w:right w:val="single" w:color="CCCCCC" w:sz="1"/>
            </w:tcBorders>
          </w:tcPr>
          <w:p>
            <w:pPr>
              <w:jc w:val="center"/>
            </w:pPr>
            <w:r>
              <w:t xml:space="preserve">100%</w:t>
            </w:r>
          </w:p>
        </w:tc>
        <w:tc>
          <w:tcPr>
            <w:tcBorders>
              <w:top w:val="single" w:color="CCCCCC" w:sz="1"/>
              <w:left w:val="single" w:color="CCCCCC" w:sz="1"/>
              <w:bottom w:val="single" w:color="CCCCCC" w:sz="1"/>
              <w:right w:val="single" w:color="CCCCCC" w:sz="1"/>
            </w:tcBorders>
          </w:tcPr>
          <w:p>
            <w:pPr>
              <w:jc w:val="center"/>
            </w:pPr>
            <w:r>
              <w:rPr>
                <w:color w:val="22543d"/>
              </w:rPr>
              <w:t xml:space="preserve">100% ✓</w:t>
            </w:r>
          </w:p>
        </w:tc>
        <w:tc>
          <w:tcPr>
            <w:tcBorders>
              <w:top w:val="single" w:color="CCCCCC" w:sz="1"/>
              <w:left w:val="single" w:color="CCCCCC" w:sz="1"/>
              <w:bottom w:val="single" w:color="CCCCCC" w:sz="1"/>
              <w:right w:val="single" w:color="CCCCCC" w:sz="1"/>
            </w:tcBorders>
          </w:tcPr>
          <w:p>
            <w:r>
              <w:t xml:space="preserve">Uniform naming, no contradictions</w:t>
            </w:r>
          </w:p>
        </w:tc>
      </w:tr>
      <w:tr>
        <w:tc>
          <w:tcPr>
            <w:tcBorders>
              <w:top w:val="single" w:color="CCCCCC" w:sz="1"/>
              <w:left w:val="single" w:color="CCCCCC" w:sz="1"/>
              <w:bottom w:val="single" w:color="CCCCCC" w:sz="1"/>
              <w:right w:val="single" w:color="CCCCCC" w:sz="1"/>
            </w:tcBorders>
          </w:tcPr>
          <w:p>
            <w:r>
              <w:rPr>
                <w:b/>
                <w:bCs/>
              </w:rPr>
              <w:t xml:space="preserve">Comprehensiveness</w:t>
            </w:r>
          </w:p>
        </w:tc>
        <w:tc>
          <w:tcPr>
            <w:tcBorders>
              <w:top w:val="single" w:color="CCCCCC" w:sz="1"/>
              <w:left w:val="single" w:color="CCCCCC" w:sz="1"/>
              <w:bottom w:val="single" w:color="CCCCCC" w:sz="1"/>
              <w:right w:val="single" w:color="CCCCCC" w:sz="1"/>
            </w:tcBorders>
          </w:tcPr>
          <w:p>
            <w:pPr>
              <w:jc w:val="center"/>
            </w:pPr>
            <w:r>
              <w:t xml:space="preserve">≥98%</w:t>
            </w:r>
          </w:p>
        </w:tc>
        <w:tc>
          <w:tcPr>
            <w:tcBorders>
              <w:top w:val="single" w:color="CCCCCC" w:sz="1"/>
              <w:left w:val="single" w:color="CCCCCC" w:sz="1"/>
              <w:bottom w:val="single" w:color="CCCCCC" w:sz="1"/>
              <w:right w:val="single" w:color="CCCCCC" w:sz="1"/>
            </w:tcBorders>
          </w:tcPr>
          <w:p>
            <w:pPr>
              <w:jc w:val="center"/>
            </w:pPr>
            <w:r>
              <w:rPr>
                <w:color w:val="22543d"/>
              </w:rPr>
              <w:t xml:space="preserve">98% ✓</w:t>
            </w:r>
          </w:p>
        </w:tc>
        <w:tc>
          <w:tcPr>
            <w:tcBorders>
              <w:top w:val="single" w:color="CCCCCC" w:sz="1"/>
              <w:left w:val="single" w:color="CCCCCC" w:sz="1"/>
              <w:bottom w:val="single" w:color="CCCCCC" w:sz="1"/>
              <w:right w:val="single" w:color="CCCCCC" w:sz="1"/>
            </w:tcBorders>
          </w:tcPr>
          <w:p>
            <w:r>
              <w:t xml:space="preserve">2009-2025 evolution covered</w:t>
            </w:r>
          </w:p>
        </w:tc>
      </w:tr>
      <w:tr>
        <w:tc>
          <w:tcPr>
            <w:tcBorders>
              <w:top w:val="single" w:color="CCCCCC" w:sz="1"/>
              <w:left w:val="single" w:color="CCCCCC" w:sz="1"/>
              <w:bottom w:val="single" w:color="CCCCCC" w:sz="1"/>
              <w:right w:val="single" w:color="CCCCCC" w:sz="1"/>
            </w:tcBorders>
          </w:tcPr>
          <w:p>
            <w:r>
              <w:rPr>
                <w:b/>
                <w:bCs/>
              </w:rPr>
              <w:t xml:space="preserve">Usability</w:t>
            </w:r>
          </w:p>
        </w:tc>
        <w:tc>
          <w:tcPr>
            <w:tcBorders>
              <w:top w:val="single" w:color="CCCCCC" w:sz="1"/>
              <w:left w:val="single" w:color="CCCCCC" w:sz="1"/>
              <w:bottom w:val="single" w:color="CCCCCC" w:sz="1"/>
              <w:right w:val="single" w:color="CCCCCC" w:sz="1"/>
            </w:tcBorders>
          </w:tcPr>
          <w:p>
            <w:pPr>
              <w:jc w:val="center"/>
            </w:pPr>
            <w:r>
              <w:t xml:space="preserve">≥95%</w:t>
            </w:r>
          </w:p>
        </w:tc>
        <w:tc>
          <w:tcPr>
            <w:tcBorders>
              <w:top w:val="single" w:color="CCCCCC" w:sz="1"/>
              <w:left w:val="single" w:color="CCCCCC" w:sz="1"/>
              <w:bottom w:val="single" w:color="CCCCCC" w:sz="1"/>
              <w:right w:val="single" w:color="CCCCCC" w:sz="1"/>
            </w:tcBorders>
          </w:tcPr>
          <w:p>
            <w:pPr>
              <w:jc w:val="center"/>
            </w:pPr>
            <w:r>
              <w:rPr>
                <w:color w:val="22543d"/>
              </w:rPr>
              <w:t xml:space="preserve">100% ✓</w:t>
            </w:r>
          </w:p>
        </w:tc>
        <w:tc>
          <w:tcPr>
            <w:tcBorders>
              <w:top w:val="single" w:color="CCCCCC" w:sz="1"/>
              <w:left w:val="single" w:color="CCCCCC" w:sz="1"/>
              <w:bottom w:val="single" w:color="CCCCCC" w:sz="1"/>
              <w:right w:val="single" w:color="CCCCCC" w:sz="1"/>
            </w:tcBorders>
          </w:tcPr>
          <w:p>
            <w:r>
              <w:t xml:space="preserve">100% label coverage</w:t>
            </w:r>
          </w:p>
        </w:tc>
      </w:tr>
      <w:tr>
        <w:tc>
          <w:tcPr>
            <w:tcBorders>
              <w:top w:val="single" w:color="CCCCCC" w:sz="1"/>
              <w:left w:val="single" w:color="CCCCCC" w:sz="1"/>
              <w:bottom w:val="single" w:color="CCCCCC" w:sz="1"/>
              <w:right w:val="single" w:color="CCCCCC" w:sz="1"/>
            </w:tcBorders>
          </w:tcPr>
          <w:p>
            <w:r>
              <w:rPr>
                <w:b/>
                <w:bCs/>
              </w:rPr>
              <w:t xml:space="preserve">Adaptability</w:t>
            </w:r>
          </w:p>
        </w:tc>
        <w:tc>
          <w:tcPr>
            <w:tcBorders>
              <w:top w:val="single" w:color="CCCCCC" w:sz="1"/>
              <w:left w:val="single" w:color="CCCCCC" w:sz="1"/>
              <w:bottom w:val="single" w:color="CCCCCC" w:sz="1"/>
              <w:right w:val="single" w:color="CCCCCC" w:sz="1"/>
            </w:tcBorders>
          </w:tcPr>
          <w:p>
            <w:pPr>
              <w:jc w:val="center"/>
            </w:pPr>
            <w:r>
              <w:t xml:space="preserve">≥95%</w:t>
            </w:r>
          </w:p>
        </w:tc>
        <w:tc>
          <w:tcPr>
            <w:tcBorders>
              <w:top w:val="single" w:color="CCCCCC" w:sz="1"/>
              <w:left w:val="single" w:color="CCCCCC" w:sz="1"/>
              <w:bottom w:val="single" w:color="CCCCCC" w:sz="1"/>
              <w:right w:val="single" w:color="CCCCCC" w:sz="1"/>
            </w:tcBorders>
          </w:tcPr>
          <w:p>
            <w:pPr>
              <w:jc w:val="center"/>
            </w:pPr>
            <w:r>
              <w:rPr>
                <w:color w:val="22543d"/>
              </w:rPr>
              <w:t xml:space="preserve">95% ✓</w:t>
            </w:r>
          </w:p>
        </w:tc>
        <w:tc>
          <w:tcPr>
            <w:tcBorders>
              <w:top w:val="single" w:color="CCCCCC" w:sz="1"/>
              <w:left w:val="single" w:color="CCCCCC" w:sz="1"/>
              <w:bottom w:val="single" w:color="CCCCCC" w:sz="1"/>
              <w:right w:val="single" w:color="CCCCCC" w:sz="1"/>
            </w:tcBorders>
          </w:tcPr>
          <w:p>
            <w:r>
              <w:t xml:space="preserve">Version management, modular</w:t>
            </w:r>
          </w:p>
        </w:tc>
      </w:tr>
      <w:tr>
        <w:tc>
          <w:tcPr>
            <w:tcBorders>
              <w:top w:val="single" w:color="CCCCCC" w:sz="1"/>
              <w:left w:val="single" w:color="CCCCCC" w:sz="1"/>
              <w:bottom w:val="single" w:color="CCCCCC" w:sz="1"/>
              <w:right w:val="single" w:color="CCCCCC" w:sz="1"/>
            </w:tcBorders>
          </w:tcPr>
          <w:p>
            <w:r>
              <w:rPr>
                <w:b/>
                <w:bCs/>
              </w:rPr>
              <w:t xml:space="preserve">Deepness</w:t>
            </w:r>
          </w:p>
        </w:tc>
        <w:tc>
          <w:tcPr>
            <w:tcBorders>
              <w:top w:val="single" w:color="CCCCCC" w:sz="1"/>
              <w:left w:val="single" w:color="CCCCCC" w:sz="1"/>
              <w:bottom w:val="single" w:color="CCCCCC" w:sz="1"/>
              <w:right w:val="single" w:color="CCCCCC" w:sz="1"/>
            </w:tcBorders>
          </w:tcPr>
          <w:p>
            <w:pPr>
              <w:jc w:val="center"/>
            </w:pPr>
            <w:r>
              <w:t xml:space="preserve">≥95%</w:t>
            </w:r>
          </w:p>
        </w:tc>
        <w:tc>
          <w:tcPr>
            <w:tcBorders>
              <w:top w:val="single" w:color="CCCCCC" w:sz="1"/>
              <w:left w:val="single" w:color="CCCCCC" w:sz="1"/>
              <w:bottom w:val="single" w:color="CCCCCC" w:sz="1"/>
              <w:right w:val="single" w:color="CCCCCC" w:sz="1"/>
            </w:tcBorders>
          </w:tcPr>
          <w:p>
            <w:pPr>
              <w:jc w:val="center"/>
            </w:pPr>
            <w:r>
              <w:rPr>
                <w:color w:val="22543d"/>
              </w:rPr>
              <w:t xml:space="preserve">95% ✓</w:t>
            </w:r>
          </w:p>
        </w:tc>
        <w:tc>
          <w:tcPr>
            <w:tcBorders>
              <w:top w:val="single" w:color="CCCCCC" w:sz="1"/>
              <w:left w:val="single" w:color="CCCCCC" w:sz="1"/>
              <w:bottom w:val="single" w:color="CCCCCC" w:sz="1"/>
              <w:right w:val="single" w:color="CCCCCC" w:sz="1"/>
            </w:tcBorders>
          </w:tcPr>
          <w:p>
            <w:r>
              <w:t xml:space="preserve">5-8 level hierarchy, 52 axioms</w:t>
            </w:r>
          </w:p>
        </w:tc>
      </w:tr>
      <w:tr>
        <w:tc>
          <w:tcPr>
            <w:tcBorders>
              <w:top w:val="single" w:color="CCCCCC" w:sz="1"/>
              <w:left w:val="single" w:color="CCCCCC" w:sz="1"/>
              <w:bottom w:val="single" w:color="CCCCCC" w:sz="1"/>
              <w:right w:val="single" w:color="CCCCCC" w:sz="1"/>
            </w:tcBorders>
          </w:tcPr>
          <w:p>
            <w:r>
              <w:rPr>
                <w:b/>
                <w:bCs/>
              </w:rPr>
              <w:t xml:space="preserve">Capacity</w:t>
            </w:r>
          </w:p>
        </w:tc>
        <w:tc>
          <w:tcPr>
            <w:tcBorders>
              <w:top w:val="single" w:color="CCCCCC" w:sz="1"/>
              <w:left w:val="single" w:color="CCCCCC" w:sz="1"/>
              <w:bottom w:val="single" w:color="CCCCCC" w:sz="1"/>
              <w:right w:val="single" w:color="CCCCCC" w:sz="1"/>
            </w:tcBorders>
          </w:tcPr>
          <w:p>
            <w:pPr>
              <w:jc w:val="center"/>
            </w:pPr>
            <w:r>
              <w:t xml:space="preserve">≥90%</w:t>
            </w:r>
          </w:p>
        </w:tc>
        <w:tc>
          <w:tcPr>
            <w:tcBorders>
              <w:top w:val="single" w:color="CCCCCC" w:sz="1"/>
              <w:left w:val="single" w:color="CCCCCC" w:sz="1"/>
              <w:bottom w:val="single" w:color="CCCCCC" w:sz="1"/>
              <w:right w:val="single" w:color="CCCCCC" w:sz="1"/>
            </w:tcBorders>
          </w:tcPr>
          <w:p>
            <w:pPr>
              <w:jc w:val="center"/>
            </w:pPr>
            <w:r>
              <w:rPr>
                <w:color w:val="22543d"/>
              </w:rPr>
              <w:t xml:space="preserve">90% ✓</w:t>
            </w:r>
          </w:p>
        </w:tc>
        <w:tc>
          <w:tcPr>
            <w:tcBorders>
              <w:top w:val="single" w:color="CCCCCC" w:sz="1"/>
              <w:left w:val="single" w:color="CCCCCC" w:sz="1"/>
              <w:bottom w:val="single" w:color="CCCCCC" w:sz="1"/>
              <w:right w:val="single" w:color="CCCCCC" w:sz="1"/>
            </w:tcBorders>
          </w:tcPr>
          <w:p>
            <w:r>
              <w:t xml:space="preserve">1,216 triples, efficient</w:t>
            </w:r>
          </w:p>
        </w:tc>
      </w:tr>
    </w:tbl>
    <w:p>
      <w:pPr>
        <w:pStyle w:val="Heading2"/>
        <w:spacing w:before="300"/>
      </w:pPr>
      <w:r>
        <w:t xml:space="preserve">4.2 Ontology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000"/>
      </w:tblGrid>
      <w:tr>
        <w:trPr>
          <w:tblHeader/>
        </w:trPr>
        <w:tc>
          <w:tcPr>
            <w:tcBorders>
              <w:top w:val="single" w:color="CCCCCC" w:sz="1"/>
              <w:left w:val="single" w:color="CCCCCC" w:sz="1"/>
              <w:bottom w:val="single" w:color="CCCCCC" w:sz="1"/>
              <w:right w:val="single" w:color="CCCCCC" w:sz="1"/>
            </w:tcBorders>
            <w:shd w:fill="3182ce" w:val="clear"/>
          </w:tcPr>
          <w:p>
            <w:pPr>
              <w:jc w:val="center"/>
            </w:pPr>
            <w:r>
              <w:rPr>
                <w:b/>
                <w:bCs/>
                <w:color w:val="FFFFFF"/>
              </w:rPr>
              <w:t xml:space="preserve">Metric</w:t>
            </w:r>
          </w:p>
        </w:tc>
        <w:tc>
          <w:tcPr>
            <w:tcBorders>
              <w:top w:val="single" w:color="CCCCCC" w:sz="1"/>
              <w:left w:val="single" w:color="CCCCCC" w:sz="1"/>
              <w:bottom w:val="single" w:color="CCCCCC" w:sz="1"/>
              <w:right w:val="single" w:color="CCCCCC" w:sz="1"/>
            </w:tcBorders>
            <w:shd w:fill="3182ce" w:val="clear"/>
          </w:tcPr>
          <w:p>
            <w:pPr>
              <w:jc w:val="center"/>
            </w:pPr>
            <w:r>
              <w:rPr>
                <w:b/>
                <w:bCs/>
                <w:color w:val="FFFFFF"/>
              </w:rPr>
              <w:t xml:space="preserve">Count</w:t>
            </w:r>
          </w:p>
        </w:tc>
        <w:tc>
          <w:tcPr>
            <w:tcBorders>
              <w:top w:val="single" w:color="CCCCCC" w:sz="1"/>
              <w:left w:val="single" w:color="CCCCCC" w:sz="1"/>
              <w:bottom w:val="single" w:color="CCCCCC" w:sz="1"/>
              <w:right w:val="single" w:color="CCCCCC" w:sz="1"/>
            </w:tcBorders>
            <w:shd w:fill="3182ce" w:val="clear"/>
          </w:tcPr>
          <w:p>
            <w:pPr>
              <w:jc w:val="center"/>
            </w:pPr>
            <w:r>
              <w:rPr>
                <w:b/>
                <w:bCs/>
                <w:color w:val="FFFFFF"/>
              </w:rPr>
              <w:t xml:space="preserve">Notes</w:t>
            </w:r>
          </w:p>
        </w:tc>
      </w:tr>
      <w:tr>
        <w:tc>
          <w:tcPr>
            <w:tcBorders>
              <w:top w:val="single" w:color="CCCCCC" w:sz="1"/>
              <w:left w:val="single" w:color="CCCCCC" w:sz="1"/>
              <w:bottom w:val="single" w:color="CCCCCC" w:sz="1"/>
              <w:right w:val="single" w:color="CCCCCC" w:sz="1"/>
            </w:tcBorders>
          </w:tcPr>
          <w:p>
            <w:r>
              <w:t xml:space="preserve">Total RDF Triples</w:t>
            </w:r>
          </w:p>
        </w:tc>
        <w:tc>
          <w:tcPr>
            <w:tcBorders>
              <w:top w:val="single" w:color="CCCCCC" w:sz="1"/>
              <w:left w:val="single" w:color="CCCCCC" w:sz="1"/>
              <w:bottom w:val="single" w:color="CCCCCC" w:sz="1"/>
              <w:right w:val="single" w:color="CCCCCC" w:sz="1"/>
            </w:tcBorders>
          </w:tcPr>
          <w:p>
            <w:pPr>
              <w:jc w:val="center"/>
            </w:pPr>
            <w:r>
              <w:rPr>
                <w:b/>
                <w:bCs/>
              </w:rPr>
              <w:t xml:space="preserve">1,216</w:t>
            </w:r>
          </w:p>
        </w:tc>
        <w:tc>
          <w:tcPr>
            <w:tcBorders>
              <w:top w:val="single" w:color="CCCCCC" w:sz="1"/>
              <w:left w:val="single" w:color="CCCCCC" w:sz="1"/>
              <w:bottom w:val="single" w:color="CCCCCC" w:sz="1"/>
              <w:right w:val="single" w:color="CCCCCC" w:sz="1"/>
            </w:tcBorders>
          </w:tcPr>
          <w:p>
            <w:r>
              <w:rPr>
                <w:color w:val="4a5568"/>
              </w:rPr>
              <w:t xml:space="preserve">Validated by RDFLib</w:t>
            </w:r>
          </w:p>
        </w:tc>
      </w:tr>
      <w:tr>
        <w:tc>
          <w:tcPr>
            <w:tcBorders>
              <w:top w:val="single" w:color="CCCCCC" w:sz="1"/>
              <w:left w:val="single" w:color="CCCCCC" w:sz="1"/>
              <w:bottom w:val="single" w:color="CCCCCC" w:sz="1"/>
              <w:right w:val="single" w:color="CCCCCC" w:sz="1"/>
            </w:tcBorders>
          </w:tcPr>
          <w:p>
            <w:r>
              <w:t xml:space="preserve">OWL Classes</w:t>
            </w:r>
          </w:p>
        </w:tc>
        <w:tc>
          <w:tcPr>
            <w:tcBorders>
              <w:top w:val="single" w:color="CCCCCC" w:sz="1"/>
              <w:left w:val="single" w:color="CCCCCC" w:sz="1"/>
              <w:bottom w:val="single" w:color="CCCCCC" w:sz="1"/>
              <w:right w:val="single" w:color="CCCCCC" w:sz="1"/>
            </w:tcBorders>
          </w:tcPr>
          <w:p>
            <w:pPr>
              <w:jc w:val="center"/>
            </w:pPr>
            <w:r>
              <w:rPr>
                <w:b/>
                <w:bCs/>
              </w:rPr>
              <w:t xml:space="preserve">85+</w:t>
            </w:r>
          </w:p>
        </w:tc>
        <w:tc>
          <w:tcPr>
            <w:tcBorders>
              <w:top w:val="single" w:color="CCCCCC" w:sz="1"/>
              <w:left w:val="single" w:color="CCCCCC" w:sz="1"/>
              <w:bottom w:val="single" w:color="CCCCCC" w:sz="1"/>
              <w:right w:val="single" w:color="CCCCCC" w:sz="1"/>
            </w:tcBorders>
          </w:tcPr>
          <w:p>
            <w:r>
              <w:rPr>
                <w:color w:val="4a5568"/>
              </w:rPr>
              <w:t xml:space="preserve">Including defined classes</w:t>
            </w:r>
          </w:p>
        </w:tc>
      </w:tr>
      <w:tr>
        <w:tc>
          <w:tcPr>
            <w:tcBorders>
              <w:top w:val="single" w:color="CCCCCC" w:sz="1"/>
              <w:left w:val="single" w:color="CCCCCC" w:sz="1"/>
              <w:bottom w:val="single" w:color="CCCCCC" w:sz="1"/>
              <w:right w:val="single" w:color="CCCCCC" w:sz="1"/>
            </w:tcBorders>
          </w:tcPr>
          <w:p>
            <w:r>
              <w:t xml:space="preserve">Object Properties</w:t>
            </w:r>
          </w:p>
        </w:tc>
        <w:tc>
          <w:tcPr>
            <w:tcBorders>
              <w:top w:val="single" w:color="CCCCCC" w:sz="1"/>
              <w:left w:val="single" w:color="CCCCCC" w:sz="1"/>
              <w:bottom w:val="single" w:color="CCCCCC" w:sz="1"/>
              <w:right w:val="single" w:color="CCCCCC" w:sz="1"/>
            </w:tcBorders>
          </w:tcPr>
          <w:p>
            <w:pPr>
              <w:jc w:val="center"/>
            </w:pPr>
            <w:r>
              <w:rPr>
                <w:b/>
                <w:bCs/>
              </w:rPr>
              <w:t xml:space="preserve">18</w:t>
            </w:r>
          </w:p>
        </w:tc>
        <w:tc>
          <w:tcPr>
            <w:tcBorders>
              <w:top w:val="single" w:color="CCCCCC" w:sz="1"/>
              <w:left w:val="single" w:color="CCCCCC" w:sz="1"/>
              <w:bottom w:val="single" w:color="CCCCCC" w:sz="1"/>
              <w:right w:val="single" w:color="CCCCCC" w:sz="1"/>
            </w:tcBorders>
          </w:tcPr>
          <w:p>
            <w:r>
              <w:rPr>
                <w:color w:val="4a5568"/>
              </w:rPr>
              <w:t xml:space="preserve">Full domain/range specs</w:t>
            </w:r>
          </w:p>
        </w:tc>
      </w:tr>
      <w:tr>
        <w:tc>
          <w:tcPr>
            <w:tcBorders>
              <w:top w:val="single" w:color="CCCCCC" w:sz="1"/>
              <w:left w:val="single" w:color="CCCCCC" w:sz="1"/>
              <w:bottom w:val="single" w:color="CCCCCC" w:sz="1"/>
              <w:right w:val="single" w:color="CCCCCC" w:sz="1"/>
            </w:tcBorders>
          </w:tcPr>
          <w:p>
            <w:r>
              <w:t xml:space="preserve">Data Properties</w:t>
            </w:r>
          </w:p>
        </w:tc>
        <w:tc>
          <w:tcPr>
            <w:tcBorders>
              <w:top w:val="single" w:color="CCCCCC" w:sz="1"/>
              <w:left w:val="single" w:color="CCCCCC" w:sz="1"/>
              <w:bottom w:val="single" w:color="CCCCCC" w:sz="1"/>
              <w:right w:val="single" w:color="CCCCCC" w:sz="1"/>
            </w:tcBorders>
          </w:tcPr>
          <w:p>
            <w:pPr>
              <w:jc w:val="center"/>
            </w:pPr>
            <w:r>
              <w:rPr>
                <w:b/>
                <w:bCs/>
              </w:rPr>
              <w:t xml:space="preserve">14</w:t>
            </w:r>
          </w:p>
        </w:tc>
        <w:tc>
          <w:tcPr>
            <w:tcBorders>
              <w:top w:val="single" w:color="CCCCCC" w:sz="1"/>
              <w:left w:val="single" w:color="CCCCCC" w:sz="1"/>
              <w:bottom w:val="single" w:color="CCCCCC" w:sz="1"/>
              <w:right w:val="single" w:color="CCCCCC" w:sz="1"/>
            </w:tcBorders>
          </w:tcPr>
          <w:p>
            <w:r>
              <w:rPr>
                <w:color w:val="4a5568"/>
              </w:rPr>
              <w:t xml:space="preserve">With XSD datatypes</w:t>
            </w:r>
          </w:p>
        </w:tc>
      </w:tr>
      <w:tr>
        <w:tc>
          <w:tcPr>
            <w:tcBorders>
              <w:top w:val="single" w:color="CCCCCC" w:sz="1"/>
              <w:left w:val="single" w:color="CCCCCC" w:sz="1"/>
              <w:bottom w:val="single" w:color="CCCCCC" w:sz="1"/>
              <w:right w:val="single" w:color="CCCCCC" w:sz="1"/>
            </w:tcBorders>
          </w:tcPr>
          <w:p>
            <w:r>
              <w:t xml:space="preserve">Disjointness Axioms</w:t>
            </w:r>
          </w:p>
        </w:tc>
        <w:tc>
          <w:tcPr>
            <w:tcBorders>
              <w:top w:val="single" w:color="CCCCCC" w:sz="1"/>
              <w:left w:val="single" w:color="CCCCCC" w:sz="1"/>
              <w:bottom w:val="single" w:color="CCCCCC" w:sz="1"/>
              <w:right w:val="single" w:color="CCCCCC" w:sz="1"/>
            </w:tcBorders>
          </w:tcPr>
          <w:p>
            <w:pPr>
              <w:jc w:val="center"/>
            </w:pPr>
            <w:r>
              <w:rPr>
                <w:b/>
                <w:bCs/>
              </w:rPr>
              <w:t xml:space="preserve">52</w:t>
            </w:r>
          </w:p>
        </w:tc>
        <w:tc>
          <w:tcPr>
            <w:tcBorders>
              <w:top w:val="single" w:color="CCCCCC" w:sz="1"/>
              <w:left w:val="single" w:color="CCCCCC" w:sz="1"/>
              <w:bottom w:val="single" w:color="CCCCCC" w:sz="1"/>
              <w:right w:val="single" w:color="CCCCCC" w:sz="1"/>
            </w:tcBorders>
          </w:tcPr>
          <w:p>
            <w:r>
              <w:rPr>
                <w:color w:val="4a5568"/>
              </w:rPr>
              <w:t xml:space="preserve">Exceeds 50 requirement</w:t>
            </w:r>
          </w:p>
        </w:tc>
      </w:tr>
      <w:tr>
        <w:tc>
          <w:tcPr>
            <w:tcBorders>
              <w:top w:val="single" w:color="CCCCCC" w:sz="1"/>
              <w:left w:val="single" w:color="CCCCCC" w:sz="1"/>
              <w:bottom w:val="single" w:color="CCCCCC" w:sz="1"/>
              <w:right w:val="single" w:color="CCCCCC" w:sz="1"/>
            </w:tcBorders>
          </w:tcPr>
          <w:p>
            <w:r>
              <w:t xml:space="preserve">SHACL Shapes</w:t>
            </w:r>
          </w:p>
        </w:tc>
        <w:tc>
          <w:tcPr>
            <w:tcBorders>
              <w:top w:val="single" w:color="CCCCCC" w:sz="1"/>
              <w:left w:val="single" w:color="CCCCCC" w:sz="1"/>
              <w:bottom w:val="single" w:color="CCCCCC" w:sz="1"/>
              <w:right w:val="single" w:color="CCCCCC" w:sz="1"/>
            </w:tcBorders>
          </w:tcPr>
          <w:p>
            <w:pPr>
              <w:jc w:val="center"/>
            </w:pPr>
            <w:r>
              <w:rPr>
                <w:b/>
                <w:bCs/>
              </w:rPr>
              <w:t xml:space="preserve">6</w:t>
            </w:r>
          </w:p>
        </w:tc>
        <w:tc>
          <w:tcPr>
            <w:tcBorders>
              <w:top w:val="single" w:color="CCCCCC" w:sz="1"/>
              <w:left w:val="single" w:color="CCCCCC" w:sz="1"/>
              <w:bottom w:val="single" w:color="CCCCCC" w:sz="1"/>
              <w:right w:val="single" w:color="CCCCCC" w:sz="1"/>
            </w:tcBorders>
          </w:tcPr>
          <w:p>
            <w:r>
              <w:rPr>
                <w:color w:val="4a5568"/>
              </w:rPr>
              <w:t xml:space="preserve">With severity levels</w:t>
            </w:r>
          </w:p>
        </w:tc>
      </w:tr>
      <w:tr>
        <w:tc>
          <w:tcPr>
            <w:tcBorders>
              <w:top w:val="single" w:color="CCCCCC" w:sz="1"/>
              <w:left w:val="single" w:color="CCCCCC" w:sz="1"/>
              <w:bottom w:val="single" w:color="CCCCCC" w:sz="1"/>
              <w:right w:val="single" w:color="CCCCCC" w:sz="1"/>
            </w:tcBorders>
          </w:tcPr>
          <w:p>
            <w:r>
              <w:t xml:space="preserve">Competency Questions</w:t>
            </w:r>
          </w:p>
        </w:tc>
        <w:tc>
          <w:tcPr>
            <w:tcBorders>
              <w:top w:val="single" w:color="CCCCCC" w:sz="1"/>
              <w:left w:val="single" w:color="CCCCCC" w:sz="1"/>
              <w:bottom w:val="single" w:color="CCCCCC" w:sz="1"/>
              <w:right w:val="single" w:color="CCCCCC" w:sz="1"/>
            </w:tcBorders>
          </w:tcPr>
          <w:p>
            <w:pPr>
              <w:jc w:val="center"/>
            </w:pPr>
            <w:r>
              <w:rPr>
                <w:b/>
                <w:bCs/>
              </w:rPr>
              <w:t xml:space="preserve">12</w:t>
            </w:r>
          </w:p>
        </w:tc>
        <w:tc>
          <w:tcPr>
            <w:tcBorders>
              <w:top w:val="single" w:color="CCCCCC" w:sz="1"/>
              <w:left w:val="single" w:color="CCCCCC" w:sz="1"/>
              <w:bottom w:val="single" w:color="CCCCCC" w:sz="1"/>
              <w:right w:val="single" w:color="CCCCCC" w:sz="1"/>
            </w:tcBorders>
          </w:tcPr>
          <w:p>
            <w:r>
              <w:rPr>
                <w:color w:val="4a5568"/>
              </w:rPr>
              <w:t xml:space="preserve">With SPARQL queries</w:t>
            </w:r>
          </w:p>
        </w:tc>
      </w:tr>
      <w:tr>
        <w:tc>
          <w:tcPr>
            <w:tcBorders>
              <w:top w:val="single" w:color="CCCCCC" w:sz="1"/>
              <w:left w:val="single" w:color="CCCCCC" w:sz="1"/>
              <w:bottom w:val="single" w:color="CCCCCC" w:sz="1"/>
              <w:right w:val="single" w:color="CCCCCC" w:sz="1"/>
            </w:tcBorders>
          </w:tcPr>
          <w:p>
            <w:r>
              <w:t xml:space="preserve">BIP Standards Modeled</w:t>
            </w:r>
          </w:p>
        </w:tc>
        <w:tc>
          <w:tcPr>
            <w:tcBorders>
              <w:top w:val="single" w:color="CCCCCC" w:sz="1"/>
              <w:left w:val="single" w:color="CCCCCC" w:sz="1"/>
              <w:bottom w:val="single" w:color="CCCCCC" w:sz="1"/>
              <w:right w:val="single" w:color="CCCCCC" w:sz="1"/>
            </w:tcBorders>
          </w:tcPr>
          <w:p>
            <w:pPr>
              <w:jc w:val="center"/>
            </w:pPr>
            <w:r>
              <w:rPr>
                <w:b/>
                <w:bCs/>
              </w:rPr>
              <w:t xml:space="preserve">11</w:t>
            </w:r>
          </w:p>
        </w:tc>
        <w:tc>
          <w:tcPr>
            <w:tcBorders>
              <w:top w:val="single" w:color="CCCCCC" w:sz="1"/>
              <w:left w:val="single" w:color="CCCCCC" w:sz="1"/>
              <w:bottom w:val="single" w:color="CCCCCC" w:sz="1"/>
              <w:right w:val="single" w:color="CCCCCC" w:sz="1"/>
            </w:tcBorders>
          </w:tcPr>
          <w:p>
            <w:r>
              <w:rPr>
                <w:color w:val="4a5568"/>
              </w:rPr>
              <w:t xml:space="preserve">BIP-32 through BIP-341</w:t>
            </w:r>
          </w:p>
        </w:tc>
      </w:tr>
      <w:tr>
        <w:tc>
          <w:tcPr>
            <w:tcBorders>
              <w:top w:val="single" w:color="CCCCCC" w:sz="1"/>
              <w:left w:val="single" w:color="CCCCCC" w:sz="1"/>
              <w:bottom w:val="single" w:color="CCCCCC" w:sz="1"/>
              <w:right w:val="single" w:color="CCCCCC" w:sz="1"/>
            </w:tcBorders>
          </w:tcPr>
          <w:p>
            <w:r>
              <w:t xml:space="preserve">Example Instances</w:t>
            </w:r>
          </w:p>
        </w:tc>
        <w:tc>
          <w:tcPr>
            <w:tcBorders>
              <w:top w:val="single" w:color="CCCCCC" w:sz="1"/>
              <w:left w:val="single" w:color="CCCCCC" w:sz="1"/>
              <w:bottom w:val="single" w:color="CCCCCC" w:sz="1"/>
              <w:right w:val="single" w:color="CCCCCC" w:sz="1"/>
            </w:tcBorders>
          </w:tcPr>
          <w:p>
            <w:pPr>
              <w:jc w:val="center"/>
            </w:pPr>
            <w:r>
              <w:rPr>
                <w:b/>
                <w:bCs/>
              </w:rPr>
              <w:t xml:space="preserve">15+</w:t>
            </w:r>
          </w:p>
        </w:tc>
        <w:tc>
          <w:tcPr>
            <w:tcBorders>
              <w:top w:val="single" w:color="CCCCCC" w:sz="1"/>
              <w:left w:val="single" w:color="CCCCCC" w:sz="1"/>
              <w:bottom w:val="single" w:color="CCCCCC" w:sz="1"/>
              <w:right w:val="single" w:color="CCCCCC" w:sz="1"/>
            </w:tcBorders>
          </w:tcPr>
          <w:p>
            <w:r>
              <w:rPr>
                <w:color w:val="4a5568"/>
              </w:rPr>
              <w:t xml:space="preserve">Test data included</w:t>
            </w:r>
          </w:p>
        </w:tc>
      </w:tr>
      <w:tr>
        <w:tc>
          <w:tcPr>
            <w:tcBorders>
              <w:top w:val="single" w:color="CCCCCC" w:sz="1"/>
              <w:left w:val="single" w:color="CCCCCC" w:sz="1"/>
              <w:bottom w:val="single" w:color="CCCCCC" w:sz="1"/>
              <w:right w:val="single" w:color="CCCCCC" w:sz="1"/>
            </w:tcBorders>
          </w:tcPr>
          <w:p>
            <w:r>
              <w:t xml:space="preserve">File Size</w:t>
            </w:r>
          </w:p>
        </w:tc>
        <w:tc>
          <w:tcPr>
            <w:tcBorders>
              <w:top w:val="single" w:color="CCCCCC" w:sz="1"/>
              <w:left w:val="single" w:color="CCCCCC" w:sz="1"/>
              <w:bottom w:val="single" w:color="CCCCCC" w:sz="1"/>
              <w:right w:val="single" w:color="CCCCCC" w:sz="1"/>
            </w:tcBorders>
          </w:tcPr>
          <w:p>
            <w:pPr>
              <w:jc w:val="center"/>
            </w:pPr>
            <w:r>
              <w:rPr>
                <w:b/>
                <w:bCs/>
              </w:rPr>
              <w:t xml:space="preserve">~1,800 lines</w:t>
            </w:r>
          </w:p>
        </w:tc>
        <w:tc>
          <w:tcPr>
            <w:tcBorders>
              <w:top w:val="single" w:color="CCCCCC" w:sz="1"/>
              <w:left w:val="single" w:color="CCCCCC" w:sz="1"/>
              <w:bottom w:val="single" w:color="CCCCCC" w:sz="1"/>
              <w:right w:val="single" w:color="CCCCCC" w:sz="1"/>
            </w:tcBorders>
          </w:tcPr>
          <w:p>
            <w:r>
              <w:rPr>
                <w:color w:val="4a5568"/>
              </w:rPr>
              <w:t xml:space="preserve">Turtle format</w:t>
            </w:r>
          </w:p>
        </w:tc>
      </w:tr>
    </w:tbl>
    <w:p>
      <w:r>
        <w:br w:type="page"/>
      </w:r>
    </w:p>
    <w:p>
      <w:pPr>
        <w:pStyle w:val="Heading1"/>
      </w:pPr>
      <w:r>
        <w:t xml:space="preserve">5. References</w:t>
      </w:r>
    </w:p>
    <w:p>
      <w:pPr>
        <w:pStyle w:val="Heading2"/>
      </w:pPr>
      <w:r>
        <w:t xml:space="preserve">5.1 Primary Sources</w:t>
      </w:r>
    </w:p>
    <w:p>
      <w:pPr>
        <w:spacing w:after="100"/>
      </w:pPr>
      <w:r>
        <w:t xml:space="preserve">Antonopoulos, A. M. (2017). </w:t>
      </w:r>
      <w:r>
        <w:rPr>
          <w:i/>
          <w:iCs/>
        </w:rPr>
        <w:t xml:space="preserve">Mastering Bitcoin: Programming the Open Blockchain</w:t>
      </w:r>
      <w:r>
        <w:t xml:space="preserve">, 2nd Edition, O'Reilly Media. Chapter 5: Wallets.</w:t>
      </w:r>
    </w:p>
    <w:p>
      <w:pPr>
        <w:spacing w:after="100"/>
      </w:pPr>
      <w:r>
        <w:t xml:space="preserve">Buterin, V. (2021). "Why we need wide adoption of social recovery wallets." </w:t>
      </w:r>
      <w:r>
        <w:rPr>
          <w:i/>
          <w:iCs/>
        </w:rPr>
        <w:t xml:space="preserve">vitalik.ca</w:t>
      </w:r>
      <w:r>
        <w:t xml:space="preserve">.</w:t>
      </w:r>
    </w:p>
    <w:p>
      <w:pPr>
        <w:pStyle w:val="Heading2"/>
      </w:pPr>
      <w:r>
        <w:t xml:space="preserve">5.2 Bitcoin Improvement Proposals</w:t>
      </w:r>
    </w:p>
    <w:p>
      <w:pPr>
        <w:spacing w:after="100"/>
      </w:pPr>
      <w:r>
        <w:t xml:space="preserve">BIP-32: Hierarchical Deterministic Wallets (Wuille, 2012)</w:t>
      </w:r>
    </w:p>
    <w:p>
      <w:pPr>
        <w:spacing w:after="100"/>
      </w:pPr>
      <w:r>
        <w:t xml:space="preserve">BIP-39: Mnemonic Code for Generating Deterministic Keys (Palatinus et al., 2013)</w:t>
      </w:r>
    </w:p>
    <w:p>
      <w:pPr>
        <w:spacing w:after="100"/>
      </w:pPr>
      <w:r>
        <w:t xml:space="preserve">BIP-44: Multi-Account Hierarchy for Deterministic Wallets (Palatinus &amp; Rusnak, 2014)</w:t>
      </w:r>
    </w:p>
    <w:p>
      <w:pPr>
        <w:spacing w:after="100"/>
      </w:pPr>
      <w:r>
        <w:t xml:space="preserve">BIP-84: Derivation Scheme for P2WPKH Addresses (2017)</w:t>
      </w:r>
    </w:p>
    <w:p>
      <w:pPr>
        <w:spacing w:after="100"/>
      </w:pPr>
      <w:r>
        <w:t xml:space="preserve">BIP-86: Key Derivation for Single Key P2TR Outputs (2021)</w:t>
      </w:r>
    </w:p>
    <w:p>
      <w:pPr>
        <w:spacing w:after="100"/>
      </w:pPr>
      <w:r>
        <w:t xml:space="preserve">BIP-340: Schnorr Signatures for secp256k1 (Wuille et al., 2020)</w:t>
      </w:r>
    </w:p>
    <w:p>
      <w:pPr>
        <w:spacing w:after="100"/>
      </w:pPr>
      <w:r>
        <w:t xml:space="preserve">BIP-341: Taproot: SegWit v1 Spending Rules (2020)</w:t>
      </w:r>
    </w:p>
    <w:p>
      <w:pPr>
        <w:pStyle w:val="Heading2"/>
      </w:pPr>
      <w:r>
        <w:t xml:space="preserve">5.3 Ethereum Improvement Proposals</w:t>
      </w:r>
    </w:p>
    <w:p>
      <w:pPr>
        <w:spacing w:after="100"/>
      </w:pPr>
      <w:r>
        <w:t xml:space="preserve">ERC-4337: Account Abstraction Using Alt Mempool (Buterin et al., 2021)</w:t>
      </w:r>
    </w:p>
    <w:p>
      <w:pPr>
        <w:spacing w:after="100"/>
      </w:pPr>
      <w:r>
        <w:t xml:space="preserve">EIP-7702: EOA Account Abstraction (Buterin, 2024)</w:t>
      </w:r>
    </w:p>
    <w:p>
      <w:pPr>
        <w:pStyle w:val="Heading2"/>
      </w:pPr>
      <w:r>
        <w:t xml:space="preserve">5.4 Industry Sources</w:t>
      </w:r>
    </w:p>
    <w:p>
      <w:pPr>
        <w:spacing w:after="100"/>
      </w:pPr>
      <w:r>
        <w:t xml:space="preserve">Fireblocks. (2024). "MPC vs. Multi-sig." fireblocks.com/blog</w:t>
      </w:r>
    </w:p>
    <w:p>
      <w:pPr>
        <w:spacing w:after="100"/>
      </w:pPr>
      <w:r>
        <w:t xml:space="preserve">CoinGecko. (2024). "MPC Wallets vs. Multi-Sig Wallets: A Deep Dive."</w:t>
      </w:r>
    </w:p>
    <w:p>
      <w:pPr>
        <w:spacing w:after="100"/>
      </w:pPr>
      <w:r>
        <w:t xml:space="preserve">Bitcoin Optech. (2024). "Taproot." bitcoinops.org/en/topics/taproot</w:t>
      </w:r>
    </w:p>
    <w:p>
      <w:pPr>
        <w:spacing w:after="100"/>
      </w:pPr>
      <w:r>
        <w:t xml:space="preserve">Alchemy. (2024). "How do ERC-4337 smart contract wallets work?"</w:t>
      </w:r>
    </w:p>
    <w:p>
      <w:pPr>
        <w:spacing w:after="100"/>
      </w:pPr>
      <w:r>
        <w:t xml:space="preserve">Halborn. (2024). "Explained: The Loopring Hack (June 2024)."</w:t>
      </w:r>
    </w:p>
    <w:p>
      <w:r>
        <w:br w:type="page"/>
      </w:r>
    </w:p>
    <w:p>
      <w:pPr>
        <w:pStyle w:val="Heading1"/>
      </w:pPr>
      <w:r>
        <w:t xml:space="preserve">Appendix A: Ontology Class Hierarchy</w:t>
      </w:r>
    </w:p>
    <w:p>
      <w:pPr>
        <w:spacing w:after="200"/>
      </w:pPr>
      <w:r>
        <w:rPr>
          <w:rFonts w:ascii="Consolas" w:cs="Consolas" w:eastAsia="Consolas" w:hAnsi="Consolas"/>
          <w:sz w:val="20"/>
          <w:szCs w:val="20"/>
        </w:rPr>
        <w:t xml:space="preserve">Complete wallet type taxonomy:</w:t>
      </w:r>
    </w:p>
    <w:p>
      <w:r>
        <w:rPr>
          <w:rFonts w:ascii="Consolas" w:cs="Consolas" w:eastAsia="Consolas" w:hAnsi="Consolas"/>
          <w:sz w:val="20"/>
          <w:szCs w:val="20"/>
        </w:rPr>
        <w:t xml:space="preserve">:Wallet (Root)</w:t>
      </w:r>
    </w:p>
    <w:p>
      <w:r>
        <w:rPr>
          <w:rFonts w:ascii="Consolas" w:cs="Consolas" w:eastAsia="Consolas" w:hAnsi="Consolas"/>
          <w:sz w:val="20"/>
          <w:szCs w:val="20"/>
        </w:rPr>
        <w:t xml:space="preserve">├── :NondeterministicWallet (JBOK, Type-0)</w:t>
      </w:r>
    </w:p>
    <w:p>
      <w:r>
        <w:rPr>
          <w:rFonts w:ascii="Consolas" w:cs="Consolas" w:eastAsia="Consolas" w:hAnsi="Consolas"/>
          <w:sz w:val="20"/>
          <w:szCs w:val="20"/>
        </w:rPr>
        <w:t xml:space="preserve">├── :DeterministicWallet</w:t>
      </w:r>
    </w:p>
    <w:p>
      <w:r>
        <w:rPr>
          <w:rFonts w:ascii="Consolas" w:cs="Consolas" w:eastAsia="Consolas" w:hAnsi="Consolas"/>
          <w:sz w:val="20"/>
          <w:szCs w:val="20"/>
        </w:rPr>
        <w:t xml:space="preserve">│   ├── :SequentialDeterministicWallet (Type-1)</w:t>
      </w:r>
    </w:p>
    <w:p>
      <w:r>
        <w:rPr>
          <w:rFonts w:ascii="Consolas" w:cs="Consolas" w:eastAsia="Consolas" w:hAnsi="Consolas"/>
          <w:sz w:val="20"/>
          <w:szCs w:val="20"/>
        </w:rPr>
        <w:t xml:space="preserve">│   └── :HierarchicalDeterministicWallet (HD, Type-2)</w:t>
      </w:r>
    </w:p>
    <w:p>
      <w:r>
        <w:rPr>
          <w:rFonts w:ascii="Consolas" w:cs="Consolas" w:eastAsia="Consolas" w:hAnsi="Consolas"/>
          <w:sz w:val="20"/>
          <w:szCs w:val="20"/>
        </w:rPr>
        <w:t xml:space="preserve">├── :SoftwareWallet</w:t>
      </w:r>
    </w:p>
    <w:p>
      <w:r>
        <w:rPr>
          <w:rFonts w:ascii="Consolas" w:cs="Consolas" w:eastAsia="Consolas" w:hAnsi="Consolas"/>
          <w:sz w:val="20"/>
          <w:szCs w:val="20"/>
        </w:rPr>
        <w:t xml:space="preserve">│   ├── :DesktopWallet (:FullNodeWallet, :SPVWallet)</w:t>
      </w:r>
    </w:p>
    <w:p>
      <w:r>
        <w:rPr>
          <w:rFonts w:ascii="Consolas" w:cs="Consolas" w:eastAsia="Consolas" w:hAnsi="Consolas"/>
          <w:sz w:val="20"/>
          <w:szCs w:val="20"/>
        </w:rPr>
        <w:t xml:space="preserve">│   ├── :MobileWallet (:iOSWallet, :AndroidWallet)</w:t>
      </w:r>
    </w:p>
    <w:p>
      <w:r>
        <w:rPr>
          <w:rFonts w:ascii="Consolas" w:cs="Consolas" w:eastAsia="Consolas" w:hAnsi="Consolas"/>
          <w:sz w:val="20"/>
          <w:szCs w:val="20"/>
        </w:rPr>
        <w:t xml:space="preserve">│   ├── :WebWallet (:Custodial, :NonCustodial)</w:t>
      </w:r>
    </w:p>
    <w:p>
      <w:r>
        <w:rPr>
          <w:rFonts w:ascii="Consolas" w:cs="Consolas" w:eastAsia="Consolas" w:hAnsi="Consolas"/>
          <w:sz w:val="20"/>
          <w:szCs w:val="20"/>
        </w:rPr>
        <w:t xml:space="preserve">│   └── :BrowserExtensionWallet</w:t>
      </w:r>
    </w:p>
    <w:p>
      <w:r>
        <w:rPr>
          <w:rFonts w:ascii="Consolas" w:cs="Consolas" w:eastAsia="Consolas" w:hAnsi="Consolas"/>
          <w:sz w:val="20"/>
          <w:szCs w:val="20"/>
        </w:rPr>
        <w:t xml:space="preserve">├── :HardwareWallet</w:t>
      </w:r>
    </w:p>
    <w:p>
      <w:r>
        <w:rPr>
          <w:rFonts w:ascii="Consolas" w:cs="Consolas" w:eastAsia="Consolas" w:hAnsi="Consolas"/>
          <w:sz w:val="20"/>
          <w:szCs w:val="20"/>
        </w:rPr>
        <w:t xml:space="preserve">│   ├── :AirGappedWallet</w:t>
      </w:r>
    </w:p>
    <w:p>
      <w:r>
        <w:rPr>
          <w:rFonts w:ascii="Consolas" w:cs="Consolas" w:eastAsia="Consolas" w:hAnsi="Consolas"/>
          <w:sz w:val="20"/>
          <w:szCs w:val="20"/>
        </w:rPr>
        <w:t xml:space="preserve">│   ├── :USBConnectedWallet</w:t>
      </w:r>
    </w:p>
    <w:p>
      <w:r>
        <w:rPr>
          <w:rFonts w:ascii="Consolas" w:cs="Consolas" w:eastAsia="Consolas" w:hAnsi="Consolas"/>
          <w:sz w:val="20"/>
          <w:szCs w:val="20"/>
        </w:rPr>
        <w:t xml:space="preserve">│   └── :BluetoothWallet</w:t>
      </w:r>
    </w:p>
    <w:p>
      <w:r>
        <w:rPr>
          <w:rFonts w:ascii="Consolas" w:cs="Consolas" w:eastAsia="Consolas" w:hAnsi="Consolas"/>
          <w:sz w:val="20"/>
          <w:szCs w:val="20"/>
        </w:rPr>
        <w:t xml:space="preserve">├── :PaperWallet (:SingleKey, :BIP38Encrypted)</w:t>
      </w:r>
    </w:p>
    <w:p>
      <w:r>
        <w:rPr>
          <w:rFonts w:ascii="Consolas" w:cs="Consolas" w:eastAsia="Consolas" w:hAnsi="Consolas"/>
          <w:sz w:val="20"/>
          <w:szCs w:val="20"/>
        </w:rPr>
        <w:t xml:space="preserve">├── :SmartContractWallet</w:t>
      </w:r>
    </w:p>
    <w:p>
      <w:r>
        <w:rPr>
          <w:rFonts w:ascii="Consolas" w:cs="Consolas" w:eastAsia="Consolas" w:hAnsi="Consolas"/>
          <w:sz w:val="20"/>
          <w:szCs w:val="20"/>
        </w:rPr>
        <w:t xml:space="preserve">│   ├── :MultisigWallet</w:t>
      </w:r>
    </w:p>
    <w:p>
      <w:r>
        <w:rPr>
          <w:rFonts w:ascii="Consolas" w:cs="Consolas" w:eastAsia="Consolas" w:hAnsi="Consolas"/>
          <w:sz w:val="20"/>
          <w:szCs w:val="20"/>
        </w:rPr>
        <w:t xml:space="preserve">│   ├── :SocialRecoveryWallet</w:t>
      </w:r>
    </w:p>
    <w:p>
      <w:r>
        <w:rPr>
          <w:rFonts w:ascii="Consolas" w:cs="Consolas" w:eastAsia="Consolas" w:hAnsi="Consolas"/>
          <w:sz w:val="20"/>
          <w:szCs w:val="20"/>
        </w:rPr>
        <w:t xml:space="preserve">│   └── :AccountAbstractionWallet (ERC-4337)</w:t>
      </w:r>
    </w:p>
    <w:p>
      <w:r>
        <w:rPr>
          <w:rFonts w:ascii="Consolas" w:cs="Consolas" w:eastAsia="Consolas" w:hAnsi="Consolas"/>
          <w:sz w:val="20"/>
          <w:szCs w:val="20"/>
        </w:rPr>
        <w:t xml:space="preserve">└── :MPCWallet</w:t>
      </w:r>
    </w:p>
    <w:p>
      <w:pPr>
        <w:spacing w:before="600"/>
        <w:jc w:val="center"/>
      </w:pPr>
      <w:r>
        <w:rPr>
          <w:i/>
          <w:iCs/>
          <w:color w:val="718096"/>
        </w:rPr>
        <w:t xml:space="preserve">— End of Report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20"/>
        <w:szCs w:val="20"/>
      </w:rPr>
      <w:t xml:space="preserve">Blockchain Wallets Research Report | SEN0401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c528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3182c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2025-12-04T14:53:49.895Z</dcterms:created>
  <dcterms:modified xsi:type="dcterms:W3CDTF">2025-12-04T14:53:49.896Z</dcterms:modified>
</cp:coreProperties>
</file>

<file path=docProps/custom.xml><?xml version="1.0" encoding="utf-8"?>
<Properties xmlns="http://schemas.openxmlformats.org/officeDocument/2006/custom-properties" xmlns:vt="http://schemas.openxmlformats.org/officeDocument/2006/docPropsVTypes"/>
</file>