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Bitcoin in numbers</w:t>
      </w:r>
    </w:p>
    <w:p>
      <w:r>
        <w:rPr>
          <w:i/>
          <w:iCs/>
        </w:rPr>
        <w:t xml:space="preserve">SEN0401 Block Chain — supplement to chapters 1 and 2. RDODI Stage 3 document, derived from the Stage 2 domain ontology; every computed figure was executed under CPython 3.14.4.</w:t>
      </w:r>
    </w:p>
    <w:p>
      <w:pPr>
        <w:pStyle w:val="Heading1"/>
      </w:pPr>
      <w:r>
        <w:t xml:space="preserve">Price</w:t>
      </w:r>
    </w:p>
    <w:p>
      <w:pPr>
        <w:spacing w:after="120"/>
      </w:pPr>
      <w:r>
        <w:t xml:space="preserve">The first part of the dashboard follows the market price, where boom-and-bust cycles dominate the history (Blockchain.com, 2026).</w:t>
      </w:r>
    </w:p>
    <w:p>
      <w:pPr>
        <w:pStyle w:val="Heading2"/>
      </w:pPr>
      <w:r>
        <w:t xml:space="preserve">Price history</w:t>
      </w:r>
    </w:p>
    <w:p>
      <w:pPr>
        <w:spacing w:after="120"/>
      </w:pPr>
      <w:r>
        <w:t xml:space="preserve">The price history is shown two ways: the full series, and each year's range (Blockchain.com, 2026).</w:t>
      </w:r>
    </w:p>
    <w:p>
      <w:pPr>
        <w:pStyle w:val="Heading3"/>
      </w:pPr>
      <w:r>
        <w:t xml:space="preserve">Market price</w:t>
      </w:r>
    </w:p>
    <w:p>
      <w:pPr>
        <w:spacing w:after="120"/>
      </w:pPr>
      <w:r>
        <w:t xml:space="preserve">The chart Market price, USD shows the market price: the average US-dollar price across major exchanges; a logarithmic scale shows the whole history and a linear scale shows recent dollar swings, and the price at its last sample was 86,184.81 dollars (Blockchain.com, 2026).</w:t>
      </w:r>
    </w:p>
    <w:p>
      <w:pPr>
        <w:pStyle w:val="Heading3"/>
      </w:pPr>
      <w:r>
        <w:t xml:space="preserve">Yearly trading range</w:t>
      </w:r>
    </w:p>
    <w:p>
      <w:pPr>
        <w:spacing w:after="120"/>
      </w:pPr>
      <w:r>
        <w:t xml:space="preserve">In the Yearly trading range chart each year appears as a floating bar from its low to its high with the closing price marked, so a volatile year is a tall bar (Blockchain.com, 2026).</w:t>
      </w:r>
    </w:p>
    <w:p>
      <w:pPr>
        <w:pStyle w:val="Heading2"/>
      </w:pPr>
      <w:r>
        <w:t xml:space="preserve">Price change</w:t>
      </w:r>
    </w:p>
    <w:p>
      <w:pPr>
        <w:spacing w:after="120"/>
      </w:pPr>
      <w:r>
        <w:t xml:space="preserve">Change is easier to compare than level when prices span six orders of magnitude (Blockchain.com, 2026).</w:t>
      </w:r>
    </w:p>
    <w:p>
      <w:pPr>
        <w:pStyle w:val="Heading3"/>
      </w:pPr>
      <w:r>
        <w:t xml:space="preserve">Year-on-year change</w:t>
      </w:r>
    </w:p>
    <w:p>
      <w:pPr>
        <w:spacing w:after="120"/>
      </w:pPr>
      <w:r>
        <w:t xml:space="preserve">The Year-on-year change chart compares each close with the previous close; bars beyond plus 400 per cent are cut off and labelled (Blockchain.com, 2026).</w:t>
      </w:r>
    </w:p>
    <w:p>
      <w:pPr>
        <w:pStyle w:val="Heading1"/>
      </w:pPr>
      <w:r>
        <w:t xml:space="preserve">Supply</w:t>
      </w:r>
    </w:p>
    <w:p>
      <w:pPr>
        <w:spacing w:after="120"/>
      </w:pPr>
      <w:r>
        <w:t xml:space="preserve">The second part, Minted coins, shows the coins issued against the 21 million cap that chapter 1 describes (Antonopoulos and Harding, 2023).</w:t>
      </w:r>
    </w:p>
    <w:p>
      <w:pPr>
        <w:pStyle w:val="Heading2"/>
      </w:pPr>
      <w:r>
        <w:t xml:space="preserve">Circulation</w:t>
      </w:r>
    </w:p>
    <w:p>
      <w:pPr>
        <w:spacing w:after="120"/>
      </w:pPr>
      <w:r>
        <w:t xml:space="preserve">Circulation is the running total of every block subsidy paid so far (Blockchain.com, 2026).</w:t>
      </w:r>
    </w:p>
    <w:p>
      <w:pPr>
        <w:pStyle w:val="Heading3"/>
      </w:pPr>
      <w:r>
        <w:t xml:space="preserve">Circulating supply</w:t>
      </w:r>
    </w:p>
    <w:p>
      <w:pPr>
        <w:spacing w:after="120"/>
      </w:pPr>
      <w:r>
        <w:t xml:space="preserve">The Circulating supply chart grows in steps toward the 21 million ceiling, each step flatter than the last (Blockchain.com, 2026).</w:t>
      </w:r>
    </w:p>
    <w:p>
      <w:pPr>
        <w:pStyle w:val="Heading3"/>
      </w:pPr>
      <w:r>
        <w:t xml:space="preserve">Mined vs still to mine</w:t>
      </w:r>
    </w:p>
    <w:p>
      <w:pPr>
        <w:spacing w:after="120"/>
      </w:pPr>
      <w:r>
        <w:t xml:space="preserve">Mined vs still to mine puts it plainly: at the snapshot, 20,087,925 bitcoins had been issued - 95.66 per cent of the 21 million cap - leaving less than a twentieth to be mined over more than a century (Blockchain.com, 2026).</w:t>
      </w:r>
    </w:p>
    <w:p>
      <w:pPr>
        <w:pStyle w:val="Heading2"/>
      </w:pPr>
      <w:r>
        <w:t xml:space="preserve">Issuance</w:t>
      </w:r>
    </w:p>
    <w:p>
      <w:pPr>
        <w:spacing w:after="120"/>
      </w:pPr>
      <w:r>
        <w:t xml:space="preserve">Yearly issuance falls in steps because the block subsidy halves every 210,000 blocks (Bitcoin Wiki, 2026).</w:t>
      </w:r>
    </w:p>
    <w:p>
      <w:pPr>
        <w:pStyle w:val="Heading3"/>
      </w:pPr>
      <w:r>
        <w:t xml:space="preserve">Annual issuance</w:t>
      </w:r>
    </w:p>
    <w:p>
      <w:pPr>
        <w:spacing w:after="120"/>
      </w:pPr>
      <w:r>
        <w:t xml:space="preserve">The chart New coins minted per year drops sharply after each halving, from over three million in 2010 to about 165,000 in 2025 (Blockchain.com, 2026).</w:t>
      </w:r>
    </w:p>
    <w:p>
      <w:pPr>
        <w:pStyle w:val="Heading3"/>
      </w:pPr>
      <w:r>
        <w:t xml:space="preserve">Halving era</w:t>
      </w:r>
    </w:p>
    <w:p>
      <w:pPr>
        <w:spacing w:after="120"/>
      </w:pPr>
      <w:r>
        <w:t xml:space="preserve">The subsidy started at 50 bitcoin and halves every 210,000 blocks; the fourth halving, on 2024-04-20, set it at 3.125 bitcoin (Bitcoin Wiki, 2026).</w:t>
      </w:r>
    </w:p>
    <w:p>
      <w:pPr>
        <w:pStyle w:val="Heading1"/>
      </w:pPr>
      <w:r>
        <w:t xml:space="preserve">Mining</w:t>
      </w:r>
    </w:p>
    <w:p>
      <w:pPr>
        <w:spacing w:after="120"/>
      </w:pPr>
      <w:r>
        <w:t xml:space="preserve">The third part, Mining capacity, shows the computing power securing the chain, which is chapter 2's security by computation made visible (Antonopoulos and Harding, 2023).</w:t>
      </w:r>
    </w:p>
    <w:p>
      <w:pPr>
        <w:pStyle w:val="Heading2"/>
      </w:pPr>
      <w:r>
        <w:t xml:space="preserve">Hash power</w:t>
      </w:r>
    </w:p>
    <w:p>
      <w:pPr>
        <w:spacing w:after="120"/>
      </w:pPr>
      <w:r>
        <w:t xml:space="preserve">Hash power is the total rate of guesses miners make in the proof-of-work search (Antonopoulos and Harding, 2023).</w:t>
      </w:r>
    </w:p>
    <w:p>
      <w:pPr>
        <w:pStyle w:val="Heading3"/>
      </w:pPr>
      <w:r>
        <w:t xml:space="preserve">Network hash rate</w:t>
      </w:r>
    </w:p>
    <w:p>
      <w:pPr>
        <w:spacing w:after="120"/>
      </w:pPr>
      <w:r>
        <w:t xml:space="preserve">The chart Network hash rate, EH/s plots the estimate in exahashes per second - a billion billion hashes each second - on a logarithmic scale (Blockchain.com, 2026).</w:t>
      </w:r>
    </w:p>
    <w:p>
      <w:pPr>
        <w:pStyle w:val="Heading3"/>
      </w:pPr>
      <w:r>
        <w:t xml:space="preserve">Annual hash rate</w:t>
      </w:r>
    </w:p>
    <w:p>
      <w:pPr>
        <w:spacing w:after="120"/>
      </w:pPr>
      <w:r>
        <w:t xml:space="preserve">Average hash rate by year shows it rising from about 4.358e-12 EH/s in 2009 to 952.8 EH/s in 2026, a factor of about 2.19e14 - the dashboard's 'about 200 trillion times' (Blockchain.com, 2026).</w:t>
      </w:r>
    </w:p>
    <w:p>
      <w:pPr>
        <w:pStyle w:val="Heading2"/>
      </w:pPr>
      <w:r>
        <w:t xml:space="preserve">Relationship</w:t>
      </w:r>
    </w:p>
    <w:p>
      <w:pPr>
        <w:spacing w:after="120"/>
      </w:pPr>
      <w:r>
        <w:t xml:space="preserve">Setting price against hash rate asks whether security followed value (Blockchain.com, 2026).</w:t>
      </w:r>
    </w:p>
    <w:p>
      <w:pPr>
        <w:pStyle w:val="Heading3"/>
      </w:pPr>
      <w:r>
        <w:t xml:space="preserve">Price vs hash rate</w:t>
      </w:r>
    </w:p>
    <w:p>
      <w:pPr>
        <w:spacing w:after="120"/>
      </w:pPr>
      <w:r>
        <w:t xml:space="preserve">The Price vs hash rate scatter puts price against hash rate on logarithmic scales, coloured from early to recent, so the joint rise of both shows as a path to the upper right (Blockchain.com, 2026).</w:t>
      </w:r>
    </w:p>
    <w:p>
      <w:pPr>
        <w:pStyle w:val="Heading1"/>
      </w:pPr>
      <w:r>
        <w:t xml:space="preserve">Provenance</w:t>
      </w:r>
    </w:p>
    <w:p>
      <w:pPr>
        <w:spacing w:after="120"/>
      </w:pPr>
      <w:r>
        <w:t xml:space="preserve">Every chart rests on one data source, and its limits belong on the page (Blockchain.com, 2026).</w:t>
      </w:r>
    </w:p>
    <w:p>
      <w:pPr>
        <w:pStyle w:val="Heading2"/>
      </w:pPr>
      <w:r>
        <w:t xml:space="preserve">Data source</w:t>
      </w:r>
    </w:p>
    <w:p>
      <w:pPr>
        <w:spacing w:after="120"/>
      </w:pPr>
      <w:r>
        <w:t xml:space="preserve">The dashboard states where its numbers come from and how current they are (Blockchain.com, 2026).</w:t>
      </w:r>
    </w:p>
    <w:p>
      <w:pPr>
        <w:pStyle w:val="Heading3"/>
      </w:pPr>
      <w:r>
        <w:t xml:space="preserve">Blockchain.com snapshot</w:t>
      </w:r>
    </w:p>
    <w:p>
      <w:pPr>
        <w:spacing w:after="120"/>
      </w:pPr>
      <w:r>
        <w:t xml:space="preserve">The data are a snapshot of Blockchain.com's public charts, sampled about every four days and taken when the page was built - so the numbers change only when the page is rebuilt (Blockchain.com, 2026).</w:t>
      </w:r>
    </w:p>
    <w:p>
      <w:pPr>
        <w:pStyle w:val="Heading3"/>
      </w:pPr>
      <w:r>
        <w:t xml:space="preserve">Hash-rate estimate</w:t>
      </w:r>
    </w:p>
    <w:p>
      <w:pPr>
        <w:spacing w:after="120"/>
      </w:pPr>
      <w:r>
        <w:t xml:space="preserve">Hash rate is an estimate derived from difficulty and block times, because no one can count every miner's hashes directly (Blockchain.com, 2026).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Bitcoin: price, supply and mining power v1.1.0 - interactive dashboard, claude.ai artifact built 25 September 2026 (owner's). </w:t>
      </w:r>
      <w:r>
        <w:rPr>
          <w:color w:val="1F4E79"/>
        </w:rPr>
        <w:t xml:space="preserve">https://claude.ai/artifact/YW85r4NW1APUyQGMw8CtL2</w:t>
      </w:r>
    </w:p>
    <w:p>
      <w:pPr>
        <w:pStyle w:val="ListParagraph"/>
        <w:numPr>
          <w:ilvl w:val="0"/>
          <w:numId w:val="2"/>
        </w:numPr>
      </w:pPr>
      <w:r>
        <w:t xml:space="preserve">Blockchain.com charts API - Bitcoins in circulation. </w:t>
      </w:r>
      <w:r>
        <w:rPr>
          <w:color w:val="1F4E79"/>
        </w:rPr>
        <w:t xml:space="preserve">https://api.blockchain.info/charts/total-bitcoins</w:t>
      </w:r>
    </w:p>
    <w:p>
      <w:pPr>
        <w:pStyle w:val="ListParagraph"/>
        <w:numPr>
          <w:ilvl w:val="0"/>
          <w:numId w:val="2"/>
        </w:numPr>
      </w:pPr>
      <w:r>
        <w:t xml:space="preserve">Blockchain.com charts API - Hash Rate. </w:t>
      </w:r>
      <w:r>
        <w:rPr>
          <w:color w:val="1F4E79"/>
        </w:rPr>
        <w:t xml:space="preserve">https://api.blockchain.info/charts/hash-rate</w:t>
      </w:r>
    </w:p>
    <w:p>
      <w:pPr>
        <w:pStyle w:val="ListParagraph"/>
        <w:numPr>
          <w:ilvl w:val="0"/>
          <w:numId w:val="2"/>
        </w:numPr>
      </w:pPr>
      <w:r>
        <w:t xml:space="preserve">Blockchain.com charts API - Market Price (USD). </w:t>
      </w:r>
      <w:r>
        <w:rPr>
          <w:color w:val="1F4E79"/>
        </w:rPr>
        <w:t xml:space="preserve">https://api.blockchain.info/charts/market-price</w:t>
      </w:r>
    </w:p>
    <w:p>
      <w:pPr>
        <w:pStyle w:val="ListParagraph"/>
        <w:numPr>
          <w:ilvl w:val="0"/>
          <w:numId w:val="2"/>
        </w:numPr>
      </w:pPr>
      <w:r>
        <w:t xml:space="preserve">Controlled supply - Bitcoin Wiki. </w:t>
      </w:r>
      <w:r>
        <w:rPr>
          <w:color w:val="1F4E79"/>
        </w:rPr>
        <w:t xml:space="preserve">https://en.bitcoin.it/wiki/Controlled_supply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12, Mining and Consensus (Antonopoulos and Harding, 2023). </w:t>
      </w:r>
      <w:r>
        <w:rPr>
          <w:color w:val="1F4E79"/>
        </w:rPr>
        <w:t xml:space="preserve">https://raw.githubusercontent.com/bitcoinbook/bitcoinbook/third_edition_print1/ch12_mining.adoc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SEN0401 Bitcoin in numbers — RDODI document</dc:title>
  <dc:creator>Yusuf Altunel</dc:creator>
  <cp:lastModifiedBy>Un-named</cp:lastModifiedBy>
  <cp:revision>1</cp:revision>
  <dcterms:created xsi:type="dcterms:W3CDTF">2026-09-25T09:00:02.252Z</dcterms:created>
  <dcterms:modified xsi:type="dcterms:W3CDTF">2026-09-25T09:00:02.261Z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