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ComplianceAI™</w:t>
      </w:r>
    </w:p>
    <w:p>
      <w:pPr>
        <w:spacing w:after="400"/>
        <w:jc w:val="center"/>
      </w:pPr>
      <w:r>
        <w:rPr>
          <w:color w:val="34495E"/>
          <w:sz w:val="28"/>
          <w:szCs w:val="28"/>
        </w:rPr>
        <w:t xml:space="preserve">Next-Generation AI-Enabled Compliance Management Solution</w:t>
      </w:r>
    </w:p>
    <w:p>
      <w:pPr>
        <w:spacing w:after="200"/>
        <w:jc w:val="center"/>
      </w:pPr>
      <w:r>
        <w:rPr>
          <w:color w:val="666666"/>
          <w:sz w:val="24"/>
          <w:szCs w:val="24"/>
        </w:rPr>
        <w:t xml:space="preserve">For UK Social Housing Organizations</w:t>
      </w:r>
    </w:p>
    <w:p>
      <w:pPr>
        <w:spacing w:before="1500"/>
        <w:jc w:val="center"/>
      </w:pPr>
      <w:r>
        <w:rPr>
          <w:b/>
          <w:bCs/>
          <w:sz w:val="24"/>
          <w:szCs w:val="24"/>
        </w:rPr>
        <w:t xml:space="preserve">Solution Architecture Document</w:t>
      </w:r>
    </w:p>
    <w:p>
      <w:pPr>
        <w:spacing w:after="100"/>
        <w:jc w:val="center"/>
      </w:pPr>
      <w:r>
        <w:rPr>
          <w:color w:val="666666"/>
          <w:sz w:val="20"/>
          <w:szCs w:val="20"/>
        </w:rPr>
        <w:t xml:space="preserve">Version 1.0 | December 2025</w:t>
      </w:r>
    </w:p>
    <w:p>
      <w:pPr>
        <w:jc w:val="center"/>
      </w:pPr>
      <w:r>
        <w:rPr>
          <w:color w:val="666666"/>
          <w:sz w:val="20"/>
          <w:szCs w:val="20"/>
        </w:rPr>
        <w:t xml:space="preserve">Prepared by LASHAN Digital</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200"/>
      </w:pPr>
      <w:r>
        <w:t xml:space="preserve">This document presents the comprehensive solution architecture for </w:t>
      </w:r>
      <w:r>
        <w:rPr>
          <w:b/>
          <w:bCs/>
        </w:rPr>
        <w:t xml:space="preserve">ComplianceAI™</w:t>
      </w:r>
      <w:r>
        <w:t xml:space="preserve">, a next-generation AI-enabled compliance management platform designed specifically for UK social housing organizations. The solution addresses the critical challenge of processing, validating, and managing compliance certificates across the Big 6+ compliance areas (Gas, Electrical, Fire Safety, Asbestos, Legionella/Water Safety, and LOLER/Lifts), extending to the emerging Big 7 with Damp &amp; Mould management under Awaab's Law.</w:t>
      </w:r>
    </w:p>
    <w:p>
      <w:pPr>
        <w:spacing w:after="200"/>
      </w:pPr>
      <w:r>
        <w:t xml:space="preserve">The platform leverages cutting-edge multimodal AI capabilities including Azure AI Document Intelligence and Large Language Models (Claude 4, GPT-4o) to intelligently process compliance certificates regardless of format variations from contractors, Direct Labour Organizations (DLOs), or third-party inspectors. Unlike current solutions that require rigid templates and extensive manual mapping, ComplianceAI™ employs adaptive document understanding to automatically extract, normalize, and validate compliance data.</w:t>
      </w:r>
    </w:p>
    <w:p>
      <w:pPr>
        <w:pStyle w:val="Heading2"/>
      </w:pPr>
      <w:r>
        <w:t xml:space="preserve">1.1 Key Value Propositions</w:t>
      </w:r>
    </w:p>
    <w:p>
      <w:pPr>
        <w:pStyle w:val="ListParagraph"/>
        <w:numPr>
          <w:ilvl w:val="0"/>
          <w:numId w:val="2"/>
        </w:numPr>
      </w:pPr>
      <w:r>
        <w:rPr>
          <w:b/>
          <w:bCs/>
        </w:rPr>
        <w:t xml:space="preserve">Intelligent Document Processing: </w:t>
      </w:r>
      <w:r>
        <w:t xml:space="preserve">Automatically processes any certificate format using multimodal AI, eliminating manual template mapping</w:t>
      </w:r>
    </w:p>
    <w:p>
      <w:pPr>
        <w:pStyle w:val="ListParagraph"/>
        <w:numPr>
          <w:ilvl w:val="0"/>
          <w:numId w:val="2"/>
        </w:numPr>
      </w:pPr>
      <w:r>
        <w:rPr>
          <w:b/>
          <w:bCs/>
        </w:rPr>
        <w:t xml:space="preserve">Regulatory Compliance Engine: </w:t>
      </w:r>
      <w:r>
        <w:t xml:space="preserve">Built-in rules for Awaab's Law timescales (24-hour emergency, 10-day investigation, 5-day remediation), Building Safety Act Golden Thread requirements, and RSH Consumer Standards</w:t>
      </w:r>
    </w:p>
    <w:p>
      <w:pPr>
        <w:pStyle w:val="ListParagraph"/>
        <w:numPr>
          <w:ilvl w:val="0"/>
          <w:numId w:val="2"/>
        </w:numPr>
      </w:pPr>
      <w:r>
        <w:rPr>
          <w:b/>
          <w:bCs/>
        </w:rPr>
        <w:t xml:space="preserve">Flexible Integration: </w:t>
      </w:r>
      <w:r>
        <w:t xml:space="preserve">API-first design with file-feed fallback for legacy HMS systems including iProperty Cloud, Dynamics 365, Civica Cx, MRI Software, and NEC Housing</w:t>
      </w:r>
    </w:p>
    <w:p>
      <w:pPr>
        <w:pStyle w:val="ListParagraph"/>
        <w:numPr>
          <w:ilvl w:val="0"/>
          <w:numId w:val="2"/>
        </w:numPr>
      </w:pPr>
      <w:r>
        <w:rPr>
          <w:b/>
          <w:bCs/>
        </w:rPr>
        <w:t xml:space="preserve">Automated Action Generation: </w:t>
      </w:r>
      <w:r>
        <w:t xml:space="preserve">AI-powered remediation recommendations with priority scoring based on tenant vulnerability and hazard severity</w:t>
      </w:r>
    </w:p>
    <w:p>
      <w:pPr>
        <w:pStyle w:val="ListParagraph"/>
        <w:numPr>
          <w:ilvl w:val="0"/>
          <w:numId w:val="2"/>
        </w:numPr>
      </w:pPr>
      <w:r>
        <w:rPr>
          <w:b/>
          <w:bCs/>
        </w:rPr>
        <w:t xml:space="preserve">Future-Ready Architecture: </w:t>
      </w:r>
      <w:r>
        <w:t xml:space="preserve">Agentic AI workflows, extensible compliance rule engine, and modular design for evolving regulatory requirements</w:t>
      </w:r>
    </w:p>
    <w:p>
      <w:r>
        <w:br w:type="page"/>
      </w:r>
    </w:p>
    <w:p>
      <w:pPr>
        <w:pStyle w:val="Heading1"/>
      </w:pPr>
      <w:r>
        <w:t xml:space="preserve">2. Problem Statement &amp; Business Challenges</w:t>
      </w:r>
    </w:p>
    <w:p>
      <w:pPr>
        <w:pStyle w:val="Heading2"/>
      </w:pPr>
      <w:r>
        <w:t xml:space="preserve">2.1 Current Industry Pain Points</w:t>
      </w:r>
    </w:p>
    <w:p>
      <w:pPr>
        <w:spacing w:after="200"/>
      </w:pPr>
      <w:r>
        <w:t xml:space="preserve">UK social housing organizations face significant challenges in compliance certificate management that current solutions fail to adequately address:</w:t>
      </w:r>
    </w:p>
    <w:p>
      <w:pPr>
        <w:pStyle w:val="Heading3"/>
      </w:pPr>
      <w:r>
        <w:t xml:space="preserve">2.1.1 Certificate Format Fragmentation</w:t>
      </w:r>
    </w:p>
    <w:p>
      <w:pPr>
        <w:spacing w:after="200"/>
      </w:pPr>
      <w:r>
        <w:t xml:space="preserve">Every contractor, inspector, and DLO produces certificates in different formats. Even for standardized compliance areas like gas safety (CP12), certificates vary significantly in layout, field naming, and data presentation. Current systems require extensive manual template configuration for each contractor, creating ongoing maintenance burdens and delays in processing new contractor certificates.</w:t>
      </w:r>
    </w:p>
    <w:p>
      <w:pPr>
        <w:pStyle w:val="Heading3"/>
      </w:pPr>
      <w:r>
        <w:t xml:space="preserve">2.1.2 File Naming Chaos</w:t>
      </w:r>
    </w:p>
    <w:p>
      <w:pPr>
        <w:spacing w:after="200"/>
      </w:pPr>
      <w:r>
        <w:t xml:space="preserve">Certificates uploaded via SharePoint or other file-sharing systems follow no consistent naming convention. Files may be named by UPRN, address, date, contractor reference, or arbitrary strings. Staff spend considerable time manually identifying, categorizing, and routing certificates to the correct property records.</w:t>
      </w:r>
    </w:p>
    <w:p>
      <w:pPr>
        <w:pStyle w:val="Heading3"/>
      </w:pPr>
      <w:r>
        <w:t xml:space="preserve">2.1.3 Regulatory Complexity</w:t>
      </w:r>
    </w:p>
    <w:p>
      <w:pPr>
        <w:spacing w:after="200"/>
      </w:pPr>
      <w:r>
        <w:t xml:space="preserve">The regulatory landscape has intensified dramatically with the Social Housing (Regulation) Act 2023, Awaab's Law (October 2025), Building Safety Act 2022, and new RSH Consumer Standards. Organizations must now track strict timescales for hazard response (24-hour emergency repairs, 10-day investigations, 5-day remediation work) with documentary evidence for regulatory inspections.</w:t>
      </w:r>
    </w:p>
    <w:p>
      <w:pPr>
        <w:pStyle w:val="Heading3"/>
      </w:pPr>
      <w:r>
        <w:t xml:space="preserve">2.1.4 Integration Limitations</w:t>
      </w:r>
    </w:p>
    <w:p>
      <w:pPr>
        <w:spacing w:after="200"/>
      </w:pPr>
      <w:r>
        <w:t xml:space="preserve">Many housing management systems offer limited or inflexible integration options. Legacy systems may only support file-based imports, while modern systems may have APIs with significant customization requirements. Organizations need a compliance solution that adapts to their HMS capabilities rather than forcing expensive system replacements.</w:t>
      </w:r>
    </w:p>
    <w:p>
      <w:pPr>
        <w:pStyle w:val="Heading2"/>
      </w:pPr>
      <w:r>
        <w:t xml:space="preserve">2.2 Regulatory Timeline Impact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Regulation</w:t>
            </w:r>
          </w:p>
        </w:tc>
        <w:tc>
          <w:tcPr>
            <w:tcW w:type="dxa" w:w="30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Effective Date</w:t>
            </w:r>
          </w:p>
        </w:tc>
        <w:tc>
          <w:tcPr>
            <w:tcW w:type="dxa" w:w="336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Key Requirements</w:t>
            </w:r>
          </w:p>
        </w:tc>
      </w:tr>
      <w:tr>
        <w:tc>
          <w:tcPr>
            <w:tcW w:type="dxa" w:w="3000"/>
            <w:tcBorders>
              <w:top w:val="single" w:color="CCCCCC" w:sz="1"/>
              <w:left w:val="single" w:color="CCCCCC" w:sz="1"/>
              <w:bottom w:val="single" w:color="CCCCCC" w:sz="1"/>
              <w:right w:val="single" w:color="CCCCCC" w:sz="1"/>
            </w:tcBorders>
          </w:tcPr>
          <w:p>
            <w:r>
              <w:t xml:space="preserve">Awaab's Law Phase 1</w:t>
            </w:r>
          </w:p>
        </w:tc>
        <w:tc>
          <w:tcPr>
            <w:tcW w:type="dxa" w:w="3000"/>
            <w:tcBorders>
              <w:top w:val="single" w:color="CCCCCC" w:sz="1"/>
              <w:left w:val="single" w:color="CCCCCC" w:sz="1"/>
              <w:bottom w:val="single" w:color="CCCCCC" w:sz="1"/>
              <w:right w:val="single" w:color="CCCCCC" w:sz="1"/>
            </w:tcBorders>
          </w:tcPr>
          <w:p>
            <w:r>
              <w:t xml:space="preserve">27 October 2025</w:t>
            </w:r>
          </w:p>
        </w:tc>
        <w:tc>
          <w:tcPr>
            <w:tcW w:type="dxa" w:w="3360"/>
            <w:tcBorders>
              <w:top w:val="single" w:color="CCCCCC" w:sz="1"/>
              <w:left w:val="single" w:color="CCCCCC" w:sz="1"/>
              <w:bottom w:val="single" w:color="CCCCCC" w:sz="1"/>
              <w:right w:val="single" w:color="CCCCCC" w:sz="1"/>
            </w:tcBorders>
          </w:tcPr>
          <w:p>
            <w:r>
              <w:t xml:space="preserve">Emergency hazards 24hrs; Damp/mould 10+5 days</w:t>
            </w:r>
          </w:p>
        </w:tc>
      </w:tr>
      <w:tr>
        <w:tc>
          <w:tcPr>
            <w:tcW w:type="dxa" w:w="3000"/>
            <w:tcBorders>
              <w:top w:val="single" w:color="CCCCCC" w:sz="1"/>
              <w:left w:val="single" w:color="CCCCCC" w:sz="1"/>
              <w:bottom w:val="single" w:color="CCCCCC" w:sz="1"/>
              <w:right w:val="single" w:color="CCCCCC" w:sz="1"/>
            </w:tcBorders>
            <w:shd w:fill="F8F9FA" w:val="clear"/>
          </w:tcPr>
          <w:p>
            <w:r>
              <w:t xml:space="preserve">Awaab's Law Phase 2</w:t>
            </w:r>
          </w:p>
        </w:tc>
        <w:tc>
          <w:tcPr>
            <w:tcW w:type="dxa" w:w="3000"/>
            <w:tcBorders>
              <w:top w:val="single" w:color="CCCCCC" w:sz="1"/>
              <w:left w:val="single" w:color="CCCCCC" w:sz="1"/>
              <w:bottom w:val="single" w:color="CCCCCC" w:sz="1"/>
              <w:right w:val="single" w:color="CCCCCC" w:sz="1"/>
            </w:tcBorders>
            <w:shd w:fill="F8F9FA" w:val="clear"/>
          </w:tcPr>
          <w:p>
            <w:r>
              <w:t xml:space="preserve">October 2026</w:t>
            </w:r>
          </w:p>
        </w:tc>
        <w:tc>
          <w:tcPr>
            <w:tcW w:type="dxa" w:w="3360"/>
            <w:tcBorders>
              <w:top w:val="single" w:color="CCCCCC" w:sz="1"/>
              <w:left w:val="single" w:color="CCCCCC" w:sz="1"/>
              <w:bottom w:val="single" w:color="CCCCCC" w:sz="1"/>
              <w:right w:val="single" w:color="CCCCCC" w:sz="1"/>
            </w:tcBorders>
            <w:shd w:fill="F8F9FA" w:val="clear"/>
          </w:tcPr>
          <w:p>
            <w:r>
              <w:t xml:space="preserve">Fire, electrical, falls, excess cold/heat</w:t>
            </w:r>
          </w:p>
        </w:tc>
      </w:tr>
      <w:tr>
        <w:tc>
          <w:tcPr>
            <w:tcW w:type="dxa" w:w="3000"/>
            <w:tcBorders>
              <w:top w:val="single" w:color="CCCCCC" w:sz="1"/>
              <w:left w:val="single" w:color="CCCCCC" w:sz="1"/>
              <w:bottom w:val="single" w:color="CCCCCC" w:sz="1"/>
              <w:right w:val="single" w:color="CCCCCC" w:sz="1"/>
            </w:tcBorders>
          </w:tcPr>
          <w:p>
            <w:r>
              <w:t xml:space="preserve">Awaab's Law Phase 3</w:t>
            </w:r>
          </w:p>
        </w:tc>
        <w:tc>
          <w:tcPr>
            <w:tcW w:type="dxa" w:w="3000"/>
            <w:tcBorders>
              <w:top w:val="single" w:color="CCCCCC" w:sz="1"/>
              <w:left w:val="single" w:color="CCCCCC" w:sz="1"/>
              <w:bottom w:val="single" w:color="CCCCCC" w:sz="1"/>
              <w:right w:val="single" w:color="CCCCCC" w:sz="1"/>
            </w:tcBorders>
          </w:tcPr>
          <w:p>
            <w:r>
              <w:t xml:space="preserve">2027</w:t>
            </w:r>
          </w:p>
        </w:tc>
        <w:tc>
          <w:tcPr>
            <w:tcW w:type="dxa" w:w="3360"/>
            <w:tcBorders>
              <w:top w:val="single" w:color="CCCCCC" w:sz="1"/>
              <w:left w:val="single" w:color="CCCCCC" w:sz="1"/>
              <w:bottom w:val="single" w:color="CCCCCC" w:sz="1"/>
              <w:right w:val="single" w:color="CCCCCC" w:sz="1"/>
            </w:tcBorders>
          </w:tcPr>
          <w:p>
            <w:r>
              <w:t xml:space="preserve">All HHSRS hazards (excl. overcrowding)</w:t>
            </w:r>
          </w:p>
        </w:tc>
      </w:tr>
      <w:tr>
        <w:tc>
          <w:tcPr>
            <w:tcW w:type="dxa" w:w="3000"/>
            <w:tcBorders>
              <w:top w:val="single" w:color="CCCCCC" w:sz="1"/>
              <w:left w:val="single" w:color="CCCCCC" w:sz="1"/>
              <w:bottom w:val="single" w:color="CCCCCC" w:sz="1"/>
              <w:right w:val="single" w:color="CCCCCC" w:sz="1"/>
            </w:tcBorders>
            <w:shd w:fill="F8F9FA" w:val="clear"/>
          </w:tcPr>
          <w:p>
            <w:r>
              <w:t xml:space="preserve">RSH Consumer Standards</w:t>
            </w:r>
          </w:p>
        </w:tc>
        <w:tc>
          <w:tcPr>
            <w:tcW w:type="dxa" w:w="3000"/>
            <w:tcBorders>
              <w:top w:val="single" w:color="CCCCCC" w:sz="1"/>
              <w:left w:val="single" w:color="CCCCCC" w:sz="1"/>
              <w:bottom w:val="single" w:color="CCCCCC" w:sz="1"/>
              <w:right w:val="single" w:color="CCCCCC" w:sz="1"/>
            </w:tcBorders>
            <w:shd w:fill="F8F9FA" w:val="clear"/>
          </w:tcPr>
          <w:p>
            <w:r>
              <w:t xml:space="preserve">April 2024 (Active)</w:t>
            </w:r>
          </w:p>
        </w:tc>
        <w:tc>
          <w:tcPr>
            <w:tcW w:type="dxa" w:w="3360"/>
            <w:tcBorders>
              <w:top w:val="single" w:color="CCCCCC" w:sz="1"/>
              <w:left w:val="single" w:color="CCCCCC" w:sz="1"/>
              <w:bottom w:val="single" w:color="CCCCCC" w:sz="1"/>
              <w:right w:val="single" w:color="CCCCCC" w:sz="1"/>
            </w:tcBorders>
            <w:shd w:fill="F8F9FA" w:val="clear"/>
          </w:tcPr>
          <w:p>
            <w:r>
              <w:t xml:space="preserve">Safety &amp; Quality, Transparency, TSM reporting</w:t>
            </w:r>
          </w:p>
        </w:tc>
      </w:tr>
      <w:tr>
        <w:tc>
          <w:tcPr>
            <w:tcW w:type="dxa" w:w="3000"/>
            <w:tcBorders>
              <w:top w:val="single" w:color="CCCCCC" w:sz="1"/>
              <w:left w:val="single" w:color="CCCCCC" w:sz="1"/>
              <w:bottom w:val="single" w:color="CCCCCC" w:sz="1"/>
              <w:right w:val="single" w:color="CCCCCC" w:sz="1"/>
            </w:tcBorders>
          </w:tcPr>
          <w:p>
            <w:r>
              <w:t xml:space="preserve">Building Safety Act</w:t>
            </w:r>
          </w:p>
        </w:tc>
        <w:tc>
          <w:tcPr>
            <w:tcW w:type="dxa" w:w="3000"/>
            <w:tcBorders>
              <w:top w:val="single" w:color="CCCCCC" w:sz="1"/>
              <w:left w:val="single" w:color="CCCCCC" w:sz="1"/>
              <w:bottom w:val="single" w:color="CCCCCC" w:sz="1"/>
              <w:right w:val="single" w:color="CCCCCC" w:sz="1"/>
            </w:tcBorders>
          </w:tcPr>
          <w:p>
            <w:r>
              <w:t xml:space="preserve">2024-2026 (Rolling)</w:t>
            </w:r>
          </w:p>
        </w:tc>
        <w:tc>
          <w:tcPr>
            <w:tcW w:type="dxa" w:w="3360"/>
            <w:tcBorders>
              <w:top w:val="single" w:color="CCCCCC" w:sz="1"/>
              <w:left w:val="single" w:color="CCCCCC" w:sz="1"/>
              <w:bottom w:val="single" w:color="CCCCCC" w:sz="1"/>
              <w:right w:val="single" w:color="CCCCCC" w:sz="1"/>
            </w:tcBorders>
          </w:tcPr>
          <w:p>
            <w:r>
              <w:t xml:space="preserve">Golden Thread, HRB registration, Safety Cases</w:t>
            </w:r>
          </w:p>
        </w:tc>
      </w:tr>
    </w:tbl>
    <w:p>
      <w:r>
        <w:br w:type="page"/>
      </w:r>
    </w:p>
    <w:p>
      <w:pPr>
        <w:pStyle w:val="Heading1"/>
      </w:pPr>
      <w:r>
        <w:t xml:space="preserve">3. Solution Overview</w:t>
      </w:r>
    </w:p>
    <w:p>
      <w:pPr>
        <w:pStyle w:val="Heading2"/>
      </w:pPr>
      <w:r>
        <w:t xml:space="preserve">3.1 Architecture Principles</w:t>
      </w:r>
    </w:p>
    <w:p>
      <w:pPr>
        <w:spacing w:after="200"/>
      </w:pPr>
      <w:r>
        <w:t xml:space="preserve">ComplianceAI™ is designed around the following core architectural principles:</w:t>
      </w:r>
    </w:p>
    <w:p>
      <w:pPr>
        <w:pStyle w:val="ListParagraph"/>
        <w:numPr>
          <w:ilvl w:val="0"/>
          <w:numId w:val="3"/>
        </w:numPr>
      </w:pPr>
      <w:r>
        <w:rPr>
          <w:b/>
          <w:bCs/>
        </w:rPr>
        <w:t xml:space="preserve">AI-First Document Processing: </w:t>
      </w:r>
      <w:r>
        <w:t xml:space="preserve">Use multimodal LLMs as the primary extraction engine, with traditional OCR as fallback</w:t>
      </w:r>
    </w:p>
    <w:p>
      <w:pPr>
        <w:pStyle w:val="ListParagraph"/>
        <w:numPr>
          <w:ilvl w:val="0"/>
          <w:numId w:val="3"/>
        </w:numPr>
      </w:pPr>
      <w:r>
        <w:rPr>
          <w:b/>
          <w:bCs/>
        </w:rPr>
        <w:t xml:space="preserve">Schema-Agnostic Ingestion: </w:t>
      </w:r>
      <w:r>
        <w:t xml:space="preserve">Accept any certificate format and normalize to canonical compliance data model</w:t>
      </w:r>
    </w:p>
    <w:p>
      <w:pPr>
        <w:pStyle w:val="ListParagraph"/>
        <w:numPr>
          <w:ilvl w:val="0"/>
          <w:numId w:val="3"/>
        </w:numPr>
      </w:pPr>
      <w:r>
        <w:rPr>
          <w:b/>
          <w:bCs/>
        </w:rPr>
        <w:t xml:space="preserve">Regulatory Rules Engine: </w:t>
      </w:r>
      <w:r>
        <w:t xml:space="preserve">Externalized, configurable compliance rules that adapt to regulatory changes</w:t>
      </w:r>
    </w:p>
    <w:p>
      <w:pPr>
        <w:pStyle w:val="ListParagraph"/>
        <w:numPr>
          <w:ilvl w:val="0"/>
          <w:numId w:val="3"/>
        </w:numPr>
      </w:pPr>
      <w:r>
        <w:rPr>
          <w:b/>
          <w:bCs/>
        </w:rPr>
        <w:t xml:space="preserve">Integration Flexibility: </w:t>
      </w:r>
      <w:r>
        <w:t xml:space="preserve">Support both real-time API and batch file-feed integration patterns</w:t>
      </w:r>
    </w:p>
    <w:p>
      <w:pPr>
        <w:pStyle w:val="ListParagraph"/>
        <w:numPr>
          <w:ilvl w:val="0"/>
          <w:numId w:val="3"/>
        </w:numPr>
      </w:pPr>
      <w:r>
        <w:rPr>
          <w:b/>
          <w:bCs/>
        </w:rPr>
        <w:t xml:space="preserve">Agentic Automation: </w:t>
      </w:r>
      <w:r>
        <w:t xml:space="preserve">Multi-agent AI workflows for complex compliance decisions and action generation</w:t>
      </w:r>
    </w:p>
    <w:p>
      <w:pPr>
        <w:pStyle w:val="ListParagraph"/>
        <w:numPr>
          <w:ilvl w:val="0"/>
          <w:numId w:val="3"/>
        </w:numPr>
      </w:pPr>
      <w:r>
        <w:rPr>
          <w:b/>
          <w:bCs/>
        </w:rPr>
        <w:t xml:space="preserve">Security by Design: </w:t>
      </w:r>
      <w:r>
        <w:t xml:space="preserve">Zero-trust architecture with full audit trail for regulatory inspection readiness</w:t>
      </w:r>
    </w:p>
    <w:p>
      <w:pPr>
        <w:pStyle w:val="Heading2"/>
      </w:pPr>
      <w:r>
        <w:t xml:space="preserve">3.2 High-Level Solution Architecture</w:t>
      </w:r>
    </w:p>
    <w:p>
      <w:pPr>
        <w:spacing w:after="200"/>
      </w:pPr>
      <w:r>
        <w:t xml:space="preserve">The solution comprises five primary layers, each designed for extensibility and resilience: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Layer</w:t>
            </w:r>
          </w:p>
        </w:tc>
        <w:tc>
          <w:tcPr>
            <w:tcW w:type="dxa" w:w="32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Components</w:t>
            </w:r>
          </w:p>
        </w:tc>
        <w:tc>
          <w:tcPr>
            <w:tcW w:type="dxa" w:w="396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Responsibility</w:t>
            </w:r>
          </w:p>
        </w:tc>
      </w:tr>
      <w:tr>
        <w:tc>
          <w:tcPr>
            <w:tcW w:type="dxa" w:w="2200"/>
            <w:tcBorders>
              <w:top w:val="single" w:color="CCCCCC" w:sz="1"/>
              <w:left w:val="single" w:color="CCCCCC" w:sz="1"/>
              <w:bottom w:val="single" w:color="CCCCCC" w:sz="1"/>
              <w:right w:val="single" w:color="CCCCCC" w:sz="1"/>
            </w:tcBorders>
          </w:tcPr>
          <w:p>
            <w:r>
              <w:rPr>
                <w:b/>
                <w:bCs/>
              </w:rPr>
              <w:t xml:space="preserve">Ingestion</w:t>
            </w:r>
          </w:p>
        </w:tc>
        <w:tc>
          <w:tcPr>
            <w:tcW w:type="dxa" w:w="3200"/>
            <w:tcBorders>
              <w:top w:val="single" w:color="CCCCCC" w:sz="1"/>
              <w:left w:val="single" w:color="CCCCCC" w:sz="1"/>
              <w:bottom w:val="single" w:color="CCCCCC" w:sz="1"/>
              <w:right w:val="single" w:color="CCCCCC" w:sz="1"/>
            </w:tcBorders>
          </w:tcPr>
          <w:p>
            <w:r>
              <w:t xml:space="preserve">SharePoint Monitor, API Gateway, SFTP Listener, Email Parser</w:t>
            </w:r>
          </w:p>
        </w:tc>
        <w:tc>
          <w:tcPr>
            <w:tcW w:type="dxa" w:w="3960"/>
            <w:tcBorders>
              <w:top w:val="single" w:color="CCCCCC" w:sz="1"/>
              <w:left w:val="single" w:color="CCCCCC" w:sz="1"/>
              <w:bottom w:val="single" w:color="CCCCCC" w:sz="1"/>
              <w:right w:val="single" w:color="CCCCCC" w:sz="1"/>
            </w:tcBorders>
          </w:tcPr>
          <w:p>
            <w:r>
              <w:t xml:space="preserve">Multi-channel certificate intake with file identification</w:t>
            </w:r>
          </w:p>
        </w:tc>
      </w:tr>
      <w:tr>
        <w:tc>
          <w:tcPr>
            <w:tcW w:type="dxa" w:w="2200"/>
            <w:tcBorders>
              <w:top w:val="single" w:color="CCCCCC" w:sz="1"/>
              <w:left w:val="single" w:color="CCCCCC" w:sz="1"/>
              <w:bottom w:val="single" w:color="CCCCCC" w:sz="1"/>
              <w:right w:val="single" w:color="CCCCCC" w:sz="1"/>
            </w:tcBorders>
            <w:shd w:fill="F8F9FA" w:val="clear"/>
          </w:tcPr>
          <w:p>
            <w:r>
              <w:rPr>
                <w:b/>
                <w:bCs/>
              </w:rPr>
              <w:t xml:space="preserve">Intelligence</w:t>
            </w:r>
          </w:p>
        </w:tc>
        <w:tc>
          <w:tcPr>
            <w:tcW w:type="dxa" w:w="3200"/>
            <w:tcBorders>
              <w:top w:val="single" w:color="CCCCCC" w:sz="1"/>
              <w:left w:val="single" w:color="CCCCCC" w:sz="1"/>
              <w:bottom w:val="single" w:color="CCCCCC" w:sz="1"/>
              <w:right w:val="single" w:color="CCCCCC" w:sz="1"/>
            </w:tcBorders>
            <w:shd w:fill="F8F9FA" w:val="clear"/>
          </w:tcPr>
          <w:p>
            <w:r>
              <w:t xml:space="preserve">Document AI, LLM Orchestrator, Classification Engine</w:t>
            </w:r>
          </w:p>
        </w:tc>
        <w:tc>
          <w:tcPr>
            <w:tcW w:type="dxa" w:w="3960"/>
            <w:tcBorders>
              <w:top w:val="single" w:color="CCCCCC" w:sz="1"/>
              <w:left w:val="single" w:color="CCCCCC" w:sz="1"/>
              <w:bottom w:val="single" w:color="CCCCCC" w:sz="1"/>
              <w:right w:val="single" w:color="CCCCCC" w:sz="1"/>
            </w:tcBorders>
            <w:shd w:fill="F8F9FA" w:val="clear"/>
          </w:tcPr>
          <w:p>
            <w:r>
              <w:t xml:space="preserve">AI-powered extraction, classification, normalization</w:t>
            </w:r>
          </w:p>
        </w:tc>
      </w:tr>
      <w:tr>
        <w:tc>
          <w:tcPr>
            <w:tcW w:type="dxa" w:w="2200"/>
            <w:tcBorders>
              <w:top w:val="single" w:color="CCCCCC" w:sz="1"/>
              <w:left w:val="single" w:color="CCCCCC" w:sz="1"/>
              <w:bottom w:val="single" w:color="CCCCCC" w:sz="1"/>
              <w:right w:val="single" w:color="CCCCCC" w:sz="1"/>
            </w:tcBorders>
          </w:tcPr>
          <w:p>
            <w:r>
              <w:rPr>
                <w:b/>
                <w:bCs/>
              </w:rPr>
              <w:t xml:space="preserve">Compliance</w:t>
            </w:r>
          </w:p>
        </w:tc>
        <w:tc>
          <w:tcPr>
            <w:tcW w:type="dxa" w:w="3200"/>
            <w:tcBorders>
              <w:top w:val="single" w:color="CCCCCC" w:sz="1"/>
              <w:left w:val="single" w:color="CCCCCC" w:sz="1"/>
              <w:bottom w:val="single" w:color="CCCCCC" w:sz="1"/>
              <w:right w:val="single" w:color="CCCCCC" w:sz="1"/>
            </w:tcBorders>
          </w:tcPr>
          <w:p>
            <w:r>
              <w:t xml:space="preserve">Rules Engine, Validation Service, Action Generator</w:t>
            </w:r>
          </w:p>
        </w:tc>
        <w:tc>
          <w:tcPr>
            <w:tcW w:type="dxa" w:w="3960"/>
            <w:tcBorders>
              <w:top w:val="single" w:color="CCCCCC" w:sz="1"/>
              <w:left w:val="single" w:color="CCCCCC" w:sz="1"/>
              <w:bottom w:val="single" w:color="CCCCCC" w:sz="1"/>
              <w:right w:val="single" w:color="CCCCCC" w:sz="1"/>
            </w:tcBorders>
          </w:tcPr>
          <w:p>
            <w:r>
              <w:t xml:space="preserve">Regulatory validation, timescale tracking, remediation</w:t>
            </w:r>
          </w:p>
        </w:tc>
      </w:tr>
      <w:tr>
        <w:tc>
          <w:tcPr>
            <w:tcW w:type="dxa" w:w="2200"/>
            <w:tcBorders>
              <w:top w:val="single" w:color="CCCCCC" w:sz="1"/>
              <w:left w:val="single" w:color="CCCCCC" w:sz="1"/>
              <w:bottom w:val="single" w:color="CCCCCC" w:sz="1"/>
              <w:right w:val="single" w:color="CCCCCC" w:sz="1"/>
            </w:tcBorders>
            <w:shd w:fill="F8F9FA" w:val="clear"/>
          </w:tcPr>
          <w:p>
            <w:r>
              <w:rPr>
                <w:b/>
                <w:bCs/>
              </w:rPr>
              <w:t xml:space="preserve">Integration</w:t>
            </w:r>
          </w:p>
        </w:tc>
        <w:tc>
          <w:tcPr>
            <w:tcW w:type="dxa" w:w="3200"/>
            <w:tcBorders>
              <w:top w:val="single" w:color="CCCCCC" w:sz="1"/>
              <w:left w:val="single" w:color="CCCCCC" w:sz="1"/>
              <w:bottom w:val="single" w:color="CCCCCC" w:sz="1"/>
              <w:right w:val="single" w:color="CCCCCC" w:sz="1"/>
            </w:tcBorders>
            <w:shd w:fill="F8F9FA" w:val="clear"/>
          </w:tcPr>
          <w:p>
            <w:r>
              <w:t xml:space="preserve">HMS Connectors, API Adapters, Feed Generator</w:t>
            </w:r>
          </w:p>
        </w:tc>
        <w:tc>
          <w:tcPr>
            <w:tcW w:type="dxa" w:w="3960"/>
            <w:tcBorders>
              <w:top w:val="single" w:color="CCCCCC" w:sz="1"/>
              <w:left w:val="single" w:color="CCCCCC" w:sz="1"/>
              <w:bottom w:val="single" w:color="CCCCCC" w:sz="1"/>
              <w:right w:val="single" w:color="CCCCCC" w:sz="1"/>
            </w:tcBorders>
            <w:shd w:fill="F8F9FA" w:val="clear"/>
          </w:tcPr>
          <w:p>
            <w:r>
              <w:t xml:space="preserve">Bi-directional HMS integration (API + file-feed)</w:t>
            </w:r>
          </w:p>
        </w:tc>
      </w:tr>
      <w:tr>
        <w:tc>
          <w:tcPr>
            <w:tcW w:type="dxa" w:w="2200"/>
            <w:tcBorders>
              <w:top w:val="single" w:color="CCCCCC" w:sz="1"/>
              <w:left w:val="single" w:color="CCCCCC" w:sz="1"/>
              <w:bottom w:val="single" w:color="CCCCCC" w:sz="1"/>
              <w:right w:val="single" w:color="CCCCCC" w:sz="1"/>
            </w:tcBorders>
          </w:tcPr>
          <w:p>
            <w:r>
              <w:rPr>
                <w:b/>
                <w:bCs/>
              </w:rPr>
              <w:t xml:space="preserve">Presentation</w:t>
            </w:r>
          </w:p>
        </w:tc>
        <w:tc>
          <w:tcPr>
            <w:tcW w:type="dxa" w:w="3200"/>
            <w:tcBorders>
              <w:top w:val="single" w:color="CCCCCC" w:sz="1"/>
              <w:left w:val="single" w:color="CCCCCC" w:sz="1"/>
              <w:bottom w:val="single" w:color="CCCCCC" w:sz="1"/>
              <w:right w:val="single" w:color="CCCCCC" w:sz="1"/>
            </w:tcBorders>
          </w:tcPr>
          <w:p>
            <w:r>
              <w:t xml:space="preserve">Dashboard, Reporting, Alerts, Mobile App</w:t>
            </w:r>
          </w:p>
        </w:tc>
        <w:tc>
          <w:tcPr>
            <w:tcW w:type="dxa" w:w="3960"/>
            <w:tcBorders>
              <w:top w:val="single" w:color="CCCCCC" w:sz="1"/>
              <w:left w:val="single" w:color="CCCCCC" w:sz="1"/>
              <w:bottom w:val="single" w:color="CCCCCC" w:sz="1"/>
              <w:right w:val="single" w:color="CCCCCC" w:sz="1"/>
            </w:tcBorders>
          </w:tcPr>
          <w:p>
            <w:r>
              <w:t xml:space="preserve">User interface, analytics, notifications</w:t>
            </w:r>
          </w:p>
        </w:tc>
      </w:tr>
    </w:tbl>
    <w:p>
      <w:r>
        <w:br w:type="page"/>
      </w:r>
    </w:p>
    <w:p>
      <w:pPr>
        <w:pStyle w:val="Heading1"/>
      </w:pPr>
      <w:r>
        <w:t xml:space="preserve">4. Detailed Technical Architecture</w:t>
      </w:r>
    </w:p>
    <w:p>
      <w:pPr>
        <w:pStyle w:val="Heading2"/>
      </w:pPr>
      <w:r>
        <w:t xml:space="preserve">4.1 Ingestion Layer</w:t>
      </w:r>
    </w:p>
    <w:p>
      <w:pPr>
        <w:pStyle w:val="Heading3"/>
      </w:pPr>
      <w:r>
        <w:t xml:space="preserve">4.1.1 Multi-Channel Document Intake</w:t>
      </w:r>
    </w:p>
    <w:p>
      <w:pPr>
        <w:spacing w:after="200"/>
      </w:pPr>
      <w:r>
        <w:t xml:space="preserve">The ingestion layer is designed to accept compliance certificates from any source without requiring changes to existing contractor or DLO workflows:</w:t>
      </w:r>
    </w:p>
    <w:p>
      <w:pPr>
        <w:pStyle w:val="ListParagraph"/>
        <w:numPr>
          <w:ilvl w:val="0"/>
          <w:numId w:val="2"/>
        </w:numPr>
      </w:pPr>
      <w:r>
        <w:rPr>
          <w:b/>
          <w:bCs/>
        </w:rPr>
        <w:t xml:space="preserve">SharePoint Integration: </w:t>
      </w:r>
      <w:r>
        <w:t xml:space="preserve">Azure Logic Apps monitors designated SharePoint folders with configurable polling intervals (default: 5 minutes). New files trigger the ingestion pipeline automatically.</w:t>
      </w:r>
    </w:p>
    <w:p>
      <w:pPr>
        <w:pStyle w:val="ListParagraph"/>
        <w:numPr>
          <w:ilvl w:val="0"/>
          <w:numId w:val="2"/>
        </w:numPr>
      </w:pPr>
      <w:r>
        <w:rPr>
          <w:b/>
          <w:bCs/>
        </w:rPr>
        <w:t xml:space="preserve">API Gateway: </w:t>
      </w:r>
      <w:r>
        <w:t xml:space="preserve">RESTful API endpoint (Azure API Management) for direct certificate submission from contractor portals or automated systems. Supports multipart file upload with metadata.</w:t>
      </w:r>
    </w:p>
    <w:p>
      <w:pPr>
        <w:pStyle w:val="ListParagraph"/>
        <w:numPr>
          <w:ilvl w:val="0"/>
          <w:numId w:val="2"/>
        </w:numPr>
      </w:pPr>
      <w:r>
        <w:rPr>
          <w:b/>
          <w:bCs/>
        </w:rPr>
        <w:t xml:space="preserve">SFTP/File Feed: </w:t>
      </w:r>
      <w:r>
        <w:t xml:space="preserve">Azure Blob Storage with SFTP connector for organizations using traditional file transfer methods. Scheduled processing jobs handle batch uploads.</w:t>
      </w:r>
    </w:p>
    <w:p>
      <w:pPr>
        <w:pStyle w:val="ListParagraph"/>
        <w:numPr>
          <w:ilvl w:val="0"/>
          <w:numId w:val="2"/>
        </w:numPr>
      </w:pPr>
      <w:r>
        <w:rPr>
          <w:b/>
          <w:bCs/>
        </w:rPr>
        <w:t xml:space="preserve">Email Parser: </w:t>
      </w:r>
      <w:r>
        <w:t xml:space="preserve">Microsoft Graph API integration monitors designated compliance email inboxes. AI extracts attachments and routes to processing pipeline.</w:t>
      </w:r>
    </w:p>
    <w:p>
      <w:pPr>
        <w:pStyle w:val="Heading3"/>
      </w:pPr>
      <w:r>
        <w:t xml:space="preserve">4.1.2 Intelligent File Identification</w:t>
      </w:r>
    </w:p>
    <w:p>
      <w:pPr>
        <w:spacing w:after="200"/>
      </w:pPr>
      <w:r>
        <w:t xml:space="preserve">A critical innovation addresses the file naming chaos problem. Rather than relying on file names for property identification, the system:</w:t>
      </w:r>
    </w:p>
    <w:p>
      <w:pPr>
        <w:pStyle w:val="ListParagraph"/>
        <w:numPr>
          <w:ilvl w:val="0"/>
          <w:numId w:val="4"/>
        </w:numPr>
      </w:pPr>
      <w:r>
        <w:t xml:space="preserve">Extracts text from the first page of every document using Azure AI Document Intelligence</w:t>
      </w:r>
    </w:p>
    <w:p>
      <w:pPr>
        <w:pStyle w:val="ListParagraph"/>
        <w:numPr>
          <w:ilvl w:val="0"/>
          <w:numId w:val="4"/>
        </w:numPr>
      </w:pPr>
      <w:r>
        <w:t xml:space="preserve">Applies a fine-tuned LLM classifier to identify document type (Gas CP12, EICR, FRA, etc.)</w:t>
      </w:r>
    </w:p>
    <w:p>
      <w:pPr>
        <w:pStyle w:val="ListParagraph"/>
        <w:numPr>
          <w:ilvl w:val="0"/>
          <w:numId w:val="4"/>
        </w:numPr>
      </w:pPr>
      <w:r>
        <w:t xml:space="preserve">Extracts property identifiers (UPRN, address components) from document content, not filename</w:t>
      </w:r>
    </w:p>
    <w:p>
      <w:pPr>
        <w:pStyle w:val="ListParagraph"/>
        <w:numPr>
          <w:ilvl w:val="0"/>
          <w:numId w:val="4"/>
        </w:numPr>
      </w:pPr>
      <w:r>
        <w:t xml:space="preserve">Performs fuzzy matching against master property register from HMS to resolve property</w:t>
      </w:r>
    </w:p>
    <w:p>
      <w:pPr>
        <w:pStyle w:val="ListParagraph"/>
        <w:numPr>
          <w:ilvl w:val="0"/>
          <w:numId w:val="4"/>
        </w:numPr>
      </w:pPr>
      <w:r>
        <w:t xml:space="preserve">Routes unmatched documents to review queue with AI-suggested property matches</w:t>
      </w:r>
    </w:p>
    <w:p>
      <w:pPr>
        <w:pStyle w:val="Heading2"/>
      </w:pPr>
      <w:r>
        <w:t xml:space="preserve">4.2 Intelligence Layer</w:t>
      </w:r>
    </w:p>
    <w:p>
      <w:pPr>
        <w:pStyle w:val="Heading3"/>
      </w:pPr>
      <w:r>
        <w:t xml:space="preserve">4.2.1 Document Understanding Pipeline</w:t>
      </w:r>
    </w:p>
    <w:p>
      <w:pPr>
        <w:spacing w:after="200"/>
      </w:pPr>
      <w:r>
        <w:t xml:space="preserve">The intelligence layer employs a hybrid approach combining Azure AI Document Intelligence with Large Language Models for maximum extraction accuracy across varied certificate formats:</w:t>
      </w:r>
    </w:p>
    <w:p>
      <w:pPr>
        <w:spacing w:after="100"/>
      </w:pPr>
      <w:r>
        <w:rPr>
          <w:b/>
          <w:bCs/>
          <w:u w:val="single"/>
        </w:rPr>
        <w:t xml:space="preserve">Stage 1: Document Pre-Processing</w:t>
      </w:r>
    </w:p>
    <w:p>
      <w:pPr>
        <w:pStyle w:val="ListParagraph"/>
        <w:numPr>
          <w:ilvl w:val="0"/>
          <w:numId w:val="2"/>
        </w:numPr>
      </w:pPr>
      <w:r>
        <w:t xml:space="preserve">PDF to image conversion (300 DPI) for optimal OCR quality</w:t>
      </w:r>
    </w:p>
    <w:p>
      <w:pPr>
        <w:pStyle w:val="ListParagraph"/>
        <w:numPr>
          <w:ilvl w:val="0"/>
          <w:numId w:val="2"/>
        </w:numPr>
      </w:pPr>
      <w:r>
        <w:t xml:space="preserve">Page detection and document segmentation for multi-certificate PDFs</w:t>
      </w:r>
    </w:p>
    <w:p>
      <w:pPr>
        <w:pStyle w:val="ListParagraph"/>
        <w:numPr>
          <w:ilvl w:val="0"/>
          <w:numId w:val="2"/>
        </w:numPr>
      </w:pPr>
      <w:r>
        <w:t xml:space="preserve">Image quality enhancement and deskewing for scanned documents</w:t>
      </w:r>
    </w:p>
    <w:p>
      <w:pPr>
        <w:spacing w:before="200" w:after="100"/>
      </w:pPr>
      <w:r>
        <w:rPr>
          <w:b/>
          <w:bCs/>
          <w:u w:val="single"/>
        </w:rPr>
        <w:t xml:space="preserve">Stage 2: Layout Analysis &amp; OCR</w:t>
      </w:r>
    </w:p>
    <w:p>
      <w:pPr>
        <w:pStyle w:val="ListParagraph"/>
        <w:numPr>
          <w:ilvl w:val="0"/>
          <w:numId w:val="2"/>
        </w:numPr>
      </w:pPr>
      <w:r>
        <w:t xml:space="preserve">Azure AI Document Intelligence Layout model extracts text, tables, key-value pairs, and structure</w:t>
      </w:r>
    </w:p>
    <w:p>
      <w:pPr>
        <w:pStyle w:val="ListParagraph"/>
        <w:numPr>
          <w:ilvl w:val="0"/>
          <w:numId w:val="2"/>
        </w:numPr>
      </w:pPr>
      <w:r>
        <w:t xml:space="preserve">Handwriting recognition for signed certificates and handwritten annotations</w:t>
      </w:r>
    </w:p>
    <w:p>
      <w:pPr>
        <w:pStyle w:val="ListParagraph"/>
        <w:numPr>
          <w:ilvl w:val="0"/>
          <w:numId w:val="2"/>
        </w:numPr>
      </w:pPr>
      <w:r>
        <w:t xml:space="preserve">Checkbox and signature detection for compliance status fields</w:t>
      </w:r>
    </w:p>
    <w:p>
      <w:pPr>
        <w:spacing w:before="200" w:after="100"/>
      </w:pPr>
      <w:r>
        <w:rPr>
          <w:b/>
          <w:bCs/>
          <w:u w:val="single"/>
        </w:rPr>
        <w:t xml:space="preserve">Stage 3: LLM-Powered Extraction</w:t>
      </w:r>
    </w:p>
    <w:p>
      <w:pPr>
        <w:pStyle w:val="ListParagraph"/>
        <w:numPr>
          <w:ilvl w:val="0"/>
          <w:numId w:val="2"/>
        </w:numPr>
      </w:pPr>
      <w:r>
        <w:t xml:space="preserve">Document image + extracted text passed to multimodal LLM (Claude 4.5 Sonnet or GPT-4o)</w:t>
      </w:r>
    </w:p>
    <w:p>
      <w:pPr>
        <w:pStyle w:val="ListParagraph"/>
        <w:numPr>
          <w:ilvl w:val="0"/>
          <w:numId w:val="2"/>
        </w:numPr>
      </w:pPr>
      <w:r>
        <w:t xml:space="preserve">Structured extraction prompt with compliance-specific schema (JSON output)</w:t>
      </w:r>
    </w:p>
    <w:p>
      <w:pPr>
        <w:pStyle w:val="ListParagraph"/>
        <w:numPr>
          <w:ilvl w:val="0"/>
          <w:numId w:val="2"/>
        </w:numPr>
      </w:pPr>
      <w:r>
        <w:t xml:space="preserve">Entity extraction: Property details, engineer information, inspection dates, results, defects, recommendations</w:t>
      </w:r>
    </w:p>
    <w:p>
      <w:pPr>
        <w:pStyle w:val="ListParagraph"/>
        <w:numPr>
          <w:ilvl w:val="0"/>
          <w:numId w:val="2"/>
        </w:numPr>
      </w:pPr>
      <w:r>
        <w:t xml:space="preserve">Semantic understanding handles variations in terminology and field labels across contractor formats</w:t>
      </w:r>
    </w:p>
    <w:p>
      <w:pPr>
        <w:pStyle w:val="Heading3"/>
      </w:pPr>
      <w:r>
        <w:t xml:space="preserve">4.2.2 Compliance Type Classification</w:t>
      </w:r>
    </w:p>
    <w:p>
      <w:pPr>
        <w:spacing w:after="200"/>
      </w:pPr>
      <w:r>
        <w:t xml:space="preserve">A specialized classification model determines the exact compliance type from the document content. This multi-label classifier supports the full Big 7 plus additional compliance areas: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700"/>
        <w:gridCol w:w="3860"/>
      </w:tblGrid>
      <w:tr>
        <w:trPr>
          <w:tblHeader/>
        </w:trPr>
        <w:tc>
          <w:tcPr>
            <w:tcW w:type="dxa" w:w="28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Compliance Area</w:t>
            </w:r>
          </w:p>
        </w:tc>
        <w:tc>
          <w:tcPr>
            <w:tcW w:type="dxa" w:w="27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Certificate Types</w:t>
            </w:r>
          </w:p>
        </w:tc>
        <w:tc>
          <w:tcPr>
            <w:tcW w:type="dxa" w:w="386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Key Extracted Fields</w:t>
            </w:r>
          </w:p>
        </w:tc>
      </w:tr>
      <w:tr>
        <w:tc>
          <w:tcPr>
            <w:tcW w:type="dxa" w:w="2800"/>
            <w:tcBorders>
              <w:top w:val="single" w:color="CCCCCC" w:sz="1"/>
              <w:left w:val="single" w:color="CCCCCC" w:sz="1"/>
              <w:bottom w:val="single" w:color="CCCCCC" w:sz="1"/>
              <w:right w:val="single" w:color="CCCCCC" w:sz="1"/>
            </w:tcBorders>
          </w:tcPr>
          <w:p>
            <w:r>
              <w:t xml:space="preserve">Gas Safety</w:t>
            </w:r>
          </w:p>
        </w:tc>
        <w:tc>
          <w:tcPr>
            <w:tcW w:type="dxa" w:w="2700"/>
            <w:tcBorders>
              <w:top w:val="single" w:color="CCCCCC" w:sz="1"/>
              <w:left w:val="single" w:color="CCCCCC" w:sz="1"/>
              <w:bottom w:val="single" w:color="CCCCCC" w:sz="1"/>
              <w:right w:val="single" w:color="CCCCCC" w:sz="1"/>
            </w:tcBorders>
          </w:tcPr>
          <w:p>
            <w:r>
              <w:t xml:space="preserve">CP12, LGSR, Service Record</w:t>
            </w:r>
          </w:p>
        </w:tc>
        <w:tc>
          <w:tcPr>
            <w:tcW w:type="dxa" w:w="3860"/>
            <w:tcBorders>
              <w:top w:val="single" w:color="CCCCCC" w:sz="1"/>
              <w:left w:val="single" w:color="CCCCCC" w:sz="1"/>
              <w:bottom w:val="single" w:color="CCCCCC" w:sz="1"/>
              <w:right w:val="single" w:color="CCCCCC" w:sz="1"/>
            </w:tcBorders>
          </w:tcPr>
          <w:p>
            <w:r>
              <w:t xml:space="preserve">Appliances, flue readings, pass/fail, defects, next due</w:t>
            </w:r>
          </w:p>
        </w:tc>
      </w:tr>
      <w:tr>
        <w:tc>
          <w:tcPr>
            <w:tcW w:type="dxa" w:w="2800"/>
            <w:tcBorders>
              <w:top w:val="single" w:color="CCCCCC" w:sz="1"/>
              <w:left w:val="single" w:color="CCCCCC" w:sz="1"/>
              <w:bottom w:val="single" w:color="CCCCCC" w:sz="1"/>
              <w:right w:val="single" w:color="CCCCCC" w:sz="1"/>
            </w:tcBorders>
            <w:shd w:fill="F8F9FA" w:val="clear"/>
          </w:tcPr>
          <w:p>
            <w:r>
              <w:t xml:space="preserve">Electrical Safety</w:t>
            </w:r>
          </w:p>
        </w:tc>
        <w:tc>
          <w:tcPr>
            <w:tcW w:type="dxa" w:w="2700"/>
            <w:tcBorders>
              <w:top w:val="single" w:color="CCCCCC" w:sz="1"/>
              <w:left w:val="single" w:color="CCCCCC" w:sz="1"/>
              <w:bottom w:val="single" w:color="CCCCCC" w:sz="1"/>
              <w:right w:val="single" w:color="CCCCCC" w:sz="1"/>
            </w:tcBorders>
            <w:shd w:fill="F8F9FA" w:val="clear"/>
          </w:tcPr>
          <w:p>
            <w:r>
              <w:t xml:space="preserve">EICR, PIR, Minor Works</w:t>
            </w:r>
          </w:p>
        </w:tc>
        <w:tc>
          <w:tcPr>
            <w:tcW w:type="dxa" w:w="3860"/>
            <w:tcBorders>
              <w:top w:val="single" w:color="CCCCCC" w:sz="1"/>
              <w:left w:val="single" w:color="CCCCCC" w:sz="1"/>
              <w:bottom w:val="single" w:color="CCCCCC" w:sz="1"/>
              <w:right w:val="single" w:color="CCCCCC" w:sz="1"/>
            </w:tcBorders>
            <w:shd w:fill="F8F9FA" w:val="clear"/>
          </w:tcPr>
          <w:p>
            <w:r>
              <w:t xml:space="preserve">Classification codes (C1-C3, FI), circuits tested, next due</w:t>
            </w:r>
          </w:p>
        </w:tc>
      </w:tr>
      <w:tr>
        <w:tc>
          <w:tcPr>
            <w:tcW w:type="dxa" w:w="2800"/>
            <w:tcBorders>
              <w:top w:val="single" w:color="CCCCCC" w:sz="1"/>
              <w:left w:val="single" w:color="CCCCCC" w:sz="1"/>
              <w:bottom w:val="single" w:color="CCCCCC" w:sz="1"/>
              <w:right w:val="single" w:color="CCCCCC" w:sz="1"/>
            </w:tcBorders>
          </w:tcPr>
          <w:p>
            <w:r>
              <w:t xml:space="preserve">Fire Safety</w:t>
            </w:r>
          </w:p>
        </w:tc>
        <w:tc>
          <w:tcPr>
            <w:tcW w:type="dxa" w:w="2700"/>
            <w:tcBorders>
              <w:top w:val="single" w:color="CCCCCC" w:sz="1"/>
              <w:left w:val="single" w:color="CCCCCC" w:sz="1"/>
              <w:bottom w:val="single" w:color="CCCCCC" w:sz="1"/>
              <w:right w:val="single" w:color="CCCCCC" w:sz="1"/>
            </w:tcBorders>
          </w:tcPr>
          <w:p>
            <w:r>
              <w:t xml:space="preserve">FRA, Fire Door Survey, Alarm Test</w:t>
            </w:r>
          </w:p>
        </w:tc>
        <w:tc>
          <w:tcPr>
            <w:tcW w:type="dxa" w:w="3860"/>
            <w:tcBorders>
              <w:top w:val="single" w:color="CCCCCC" w:sz="1"/>
              <w:left w:val="single" w:color="CCCCCC" w:sz="1"/>
              <w:bottom w:val="single" w:color="CCCCCC" w:sz="1"/>
              <w:right w:val="single" w:color="CCCCCC" w:sz="1"/>
            </w:tcBorders>
          </w:tcPr>
          <w:p>
            <w:r>
              <w:t xml:space="preserve">Risk rating, actions required, compartmentation status</w:t>
            </w:r>
          </w:p>
        </w:tc>
      </w:tr>
      <w:tr>
        <w:tc>
          <w:tcPr>
            <w:tcW w:type="dxa" w:w="2800"/>
            <w:tcBorders>
              <w:top w:val="single" w:color="CCCCCC" w:sz="1"/>
              <w:left w:val="single" w:color="CCCCCC" w:sz="1"/>
              <w:bottom w:val="single" w:color="CCCCCC" w:sz="1"/>
              <w:right w:val="single" w:color="CCCCCC" w:sz="1"/>
            </w:tcBorders>
            <w:shd w:fill="F8F9FA" w:val="clear"/>
          </w:tcPr>
          <w:p>
            <w:r>
              <w:t xml:space="preserve">Asbestos</w:t>
            </w:r>
          </w:p>
        </w:tc>
        <w:tc>
          <w:tcPr>
            <w:tcW w:type="dxa" w:w="2700"/>
            <w:tcBorders>
              <w:top w:val="single" w:color="CCCCCC" w:sz="1"/>
              <w:left w:val="single" w:color="CCCCCC" w:sz="1"/>
              <w:bottom w:val="single" w:color="CCCCCC" w:sz="1"/>
              <w:right w:val="single" w:color="CCCCCC" w:sz="1"/>
            </w:tcBorders>
            <w:shd w:fill="F8F9FA" w:val="clear"/>
          </w:tcPr>
          <w:p>
            <w:r>
              <w:t xml:space="preserve">Management Survey, R&amp;D Survey, Re-inspection</w:t>
            </w:r>
          </w:p>
        </w:tc>
        <w:tc>
          <w:tcPr>
            <w:tcW w:type="dxa" w:w="3860"/>
            <w:tcBorders>
              <w:top w:val="single" w:color="CCCCCC" w:sz="1"/>
              <w:left w:val="single" w:color="CCCCCC" w:sz="1"/>
              <w:bottom w:val="single" w:color="CCCCCC" w:sz="1"/>
              <w:right w:val="single" w:color="CCCCCC" w:sz="1"/>
            </w:tcBorders>
            <w:shd w:fill="F8F9FA" w:val="clear"/>
          </w:tcPr>
          <w:p>
            <w:r>
              <w:t xml:space="preserve">ACM locations, condition scores, material type, risk score</w:t>
            </w:r>
          </w:p>
        </w:tc>
      </w:tr>
      <w:tr>
        <w:tc>
          <w:tcPr>
            <w:tcW w:type="dxa" w:w="2800"/>
            <w:tcBorders>
              <w:top w:val="single" w:color="CCCCCC" w:sz="1"/>
              <w:left w:val="single" w:color="CCCCCC" w:sz="1"/>
              <w:bottom w:val="single" w:color="CCCCCC" w:sz="1"/>
              <w:right w:val="single" w:color="CCCCCC" w:sz="1"/>
            </w:tcBorders>
          </w:tcPr>
          <w:p>
            <w:r>
              <w:t xml:space="preserve">Water/Legionella</w:t>
            </w:r>
          </w:p>
        </w:tc>
        <w:tc>
          <w:tcPr>
            <w:tcW w:type="dxa" w:w="2700"/>
            <w:tcBorders>
              <w:top w:val="single" w:color="CCCCCC" w:sz="1"/>
              <w:left w:val="single" w:color="CCCCCC" w:sz="1"/>
              <w:bottom w:val="single" w:color="CCCCCC" w:sz="1"/>
              <w:right w:val="single" w:color="CCCCCC" w:sz="1"/>
            </w:tcBorders>
          </w:tcPr>
          <w:p>
            <w:r>
              <w:t xml:space="preserve">LRA, Temperature Checks, Tank Inspection</w:t>
            </w:r>
          </w:p>
        </w:tc>
        <w:tc>
          <w:tcPr>
            <w:tcW w:type="dxa" w:w="3860"/>
            <w:tcBorders>
              <w:top w:val="single" w:color="CCCCCC" w:sz="1"/>
              <w:left w:val="single" w:color="CCCCCC" w:sz="1"/>
              <w:bottom w:val="single" w:color="CCCCCC" w:sz="1"/>
              <w:right w:val="single" w:color="CCCCCC" w:sz="1"/>
            </w:tcBorders>
          </w:tcPr>
          <w:p>
            <w:r>
              <w:t xml:space="preserve">Risk rating, temperature readings, recommended actions</w:t>
            </w:r>
          </w:p>
        </w:tc>
      </w:tr>
      <w:tr>
        <w:tc>
          <w:tcPr>
            <w:tcW w:type="dxa" w:w="2800"/>
            <w:tcBorders>
              <w:top w:val="single" w:color="CCCCCC" w:sz="1"/>
              <w:left w:val="single" w:color="CCCCCC" w:sz="1"/>
              <w:bottom w:val="single" w:color="CCCCCC" w:sz="1"/>
              <w:right w:val="single" w:color="CCCCCC" w:sz="1"/>
            </w:tcBorders>
            <w:shd w:fill="F8F9FA" w:val="clear"/>
          </w:tcPr>
          <w:p>
            <w:r>
              <w:t xml:space="preserve">LOLER (Lifts)</w:t>
            </w:r>
          </w:p>
        </w:tc>
        <w:tc>
          <w:tcPr>
            <w:tcW w:type="dxa" w:w="2700"/>
            <w:tcBorders>
              <w:top w:val="single" w:color="CCCCCC" w:sz="1"/>
              <w:left w:val="single" w:color="CCCCCC" w:sz="1"/>
              <w:bottom w:val="single" w:color="CCCCCC" w:sz="1"/>
              <w:right w:val="single" w:color="CCCCCC" w:sz="1"/>
            </w:tcBorders>
            <w:shd w:fill="F8F9FA" w:val="clear"/>
          </w:tcPr>
          <w:p>
            <w:r>
              <w:t xml:space="preserve">LOLER Examination, Service Record</w:t>
            </w:r>
          </w:p>
        </w:tc>
        <w:tc>
          <w:tcPr>
            <w:tcW w:type="dxa" w:w="3860"/>
            <w:tcBorders>
              <w:top w:val="single" w:color="CCCCCC" w:sz="1"/>
              <w:left w:val="single" w:color="CCCCCC" w:sz="1"/>
              <w:bottom w:val="single" w:color="CCCCCC" w:sz="1"/>
              <w:right w:val="single" w:color="CCCCCC" w:sz="1"/>
            </w:tcBorders>
            <w:shd w:fill="F8F9FA" w:val="clear"/>
          </w:tcPr>
          <w:p>
            <w:r>
              <w:t xml:space="preserve">Defects, safe working load, next examination due</w:t>
            </w:r>
          </w:p>
        </w:tc>
      </w:tr>
      <w:tr>
        <w:tc>
          <w:tcPr>
            <w:tcW w:type="dxa" w:w="2800"/>
            <w:tcBorders>
              <w:top w:val="single" w:color="CCCCCC" w:sz="1"/>
              <w:left w:val="single" w:color="CCCCCC" w:sz="1"/>
              <w:bottom w:val="single" w:color="CCCCCC" w:sz="1"/>
              <w:right w:val="single" w:color="CCCCCC" w:sz="1"/>
            </w:tcBorders>
          </w:tcPr>
          <w:p>
            <w:r>
              <w:t xml:space="preserve">Damp &amp; Mould</w:t>
            </w:r>
          </w:p>
        </w:tc>
        <w:tc>
          <w:tcPr>
            <w:tcW w:type="dxa" w:w="2700"/>
            <w:tcBorders>
              <w:top w:val="single" w:color="CCCCCC" w:sz="1"/>
              <w:left w:val="single" w:color="CCCCCC" w:sz="1"/>
              <w:bottom w:val="single" w:color="CCCCCC" w:sz="1"/>
              <w:right w:val="single" w:color="CCCCCC" w:sz="1"/>
            </w:tcBorders>
          </w:tcPr>
          <w:p>
            <w:r>
              <w:t xml:space="preserve">D&amp;M Survey, Environmental Report</w:t>
            </w:r>
          </w:p>
        </w:tc>
        <w:tc>
          <w:tcPr>
            <w:tcW w:type="dxa" w:w="3860"/>
            <w:tcBorders>
              <w:top w:val="single" w:color="CCCCCC" w:sz="1"/>
              <w:left w:val="single" w:color="CCCCCC" w:sz="1"/>
              <w:bottom w:val="single" w:color="CCCCCC" w:sz="1"/>
              <w:right w:val="single" w:color="CCCCCC" w:sz="1"/>
            </w:tcBorders>
          </w:tcPr>
          <w:p>
            <w:r>
              <w:t xml:space="preserve">Severity, root cause, affected areas, remediation required</w:t>
            </w:r>
          </w:p>
        </w:tc>
      </w:tr>
    </w:tbl>
    <w:p>
      <w:r>
        <w:br w:type="page"/>
      </w:r>
    </w:p>
    <w:p>
      <w:pPr>
        <w:pStyle w:val="Heading2"/>
      </w:pPr>
      <w:r>
        <w:t xml:space="preserve">4.3 Compliance Engine</w:t>
      </w:r>
    </w:p>
    <w:p>
      <w:pPr>
        <w:pStyle w:val="Heading3"/>
      </w:pPr>
      <w:r>
        <w:t xml:space="preserve">4.3.1 Rules Engine Architecture</w:t>
      </w:r>
    </w:p>
    <w:p>
      <w:pPr>
        <w:spacing w:after="200"/>
      </w:pPr>
      <w:r>
        <w:t xml:space="preserve">The compliance rules engine is implemented using a configurable, version-controlled rule repository that can be updated without code deployment. This critical design choice ensures rapid response to regulatory changes:</w:t>
      </w:r>
    </w:p>
    <w:p>
      <w:pPr>
        <w:spacing w:after="100"/>
      </w:pPr>
      <w:r>
        <w:rPr>
          <w:b/>
          <w:bCs/>
        </w:rPr>
        <w:t xml:space="preserve">Rule Categories:</w:t>
      </w:r>
    </w:p>
    <w:p>
      <w:pPr>
        <w:pStyle w:val="ListParagraph"/>
        <w:numPr>
          <w:ilvl w:val="0"/>
          <w:numId w:val="2"/>
        </w:numPr>
      </w:pPr>
      <w:r>
        <w:rPr>
          <w:b/>
          <w:bCs/>
        </w:rPr>
        <w:t xml:space="preserve">Statutory Timescales: </w:t>
      </w:r>
      <w:r>
        <w:t xml:space="preserve">Awaab's Law timescales (24-hour emergency, 10-day investigation, 5-day remediation), annual gas safety cycles, 5-year EICR cycles</w:t>
      </w:r>
    </w:p>
    <w:p>
      <w:pPr>
        <w:pStyle w:val="ListParagraph"/>
        <w:numPr>
          <w:ilvl w:val="0"/>
          <w:numId w:val="2"/>
        </w:numPr>
      </w:pPr>
      <w:r>
        <w:rPr>
          <w:b/>
          <w:bCs/>
        </w:rPr>
        <w:t xml:space="preserve">Hazard Classification: </w:t>
      </w:r>
      <w:r>
        <w:t xml:space="preserve">HHSRS scoring algorithms, emergency vs. significant hazard determination based on tenant vulnerability factors</w:t>
      </w:r>
    </w:p>
    <w:p>
      <w:pPr>
        <w:pStyle w:val="ListParagraph"/>
        <w:numPr>
          <w:ilvl w:val="0"/>
          <w:numId w:val="2"/>
        </w:numPr>
      </w:pPr>
      <w:r>
        <w:rPr>
          <w:b/>
          <w:bCs/>
        </w:rPr>
        <w:t xml:space="preserve">Certificate Validity: </w:t>
      </w:r>
      <w:r>
        <w:t xml:space="preserve">Expiry calculations, satisfactory outcome determination, defect severity assessment</w:t>
      </w:r>
    </w:p>
    <w:p>
      <w:pPr>
        <w:pStyle w:val="ListParagraph"/>
        <w:numPr>
          <w:ilvl w:val="0"/>
          <w:numId w:val="2"/>
        </w:numPr>
      </w:pPr>
      <w:r>
        <w:rPr>
          <w:b/>
          <w:bCs/>
        </w:rPr>
        <w:t xml:space="preserve">Action Triggers: </w:t>
      </w:r>
      <w:r>
        <w:t xml:space="preserve">Conditions that generate work orders, notifications, or escalations based on compliance status</w:t>
      </w:r>
    </w:p>
    <w:p>
      <w:pPr>
        <w:pStyle w:val="Heading3"/>
      </w:pPr>
      <w:r>
        <w:t xml:space="preserve">4.3.2 Awaab's Law Timescale Enforcement</w:t>
      </w:r>
    </w:p>
    <w:p>
      <w:pPr>
        <w:spacing w:after="200"/>
      </w:pPr>
      <w:r>
        <w:t xml:space="preserve">A specialized module tracks Awaab's Law compliance with precise timescale monitoring: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000"/>
        <w:gridCol w:w="266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Hazard Type</w:t>
            </w:r>
          </w:p>
        </w:tc>
        <w:tc>
          <w:tcPr>
            <w:tcW w:type="dxa" w:w="22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Investigation</w:t>
            </w:r>
          </w:p>
        </w:tc>
        <w:tc>
          <w:tcPr>
            <w:tcW w:type="dxa" w:w="20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Safety Work</w:t>
            </w:r>
          </w:p>
        </w:tc>
        <w:tc>
          <w:tcPr>
            <w:tcW w:type="dxa" w:w="266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System Action</w:t>
            </w:r>
          </w:p>
        </w:tc>
      </w:tr>
      <w:tr>
        <w:tc>
          <w:tcPr>
            <w:tcW w:type="dxa" w:w="2500"/>
            <w:tcBorders>
              <w:top w:val="single" w:color="CCCCCC" w:sz="1"/>
              <w:left w:val="single" w:color="CCCCCC" w:sz="1"/>
              <w:bottom w:val="single" w:color="CCCCCC" w:sz="1"/>
              <w:right w:val="single" w:color="CCCCCC" w:sz="1"/>
            </w:tcBorders>
          </w:tcPr>
          <w:p>
            <w:r>
              <w:t xml:space="preserve">Emergency Hazard</w:t>
            </w:r>
          </w:p>
        </w:tc>
        <w:tc>
          <w:tcPr>
            <w:tcW w:type="dxa" w:w="2200"/>
            <w:tcBorders>
              <w:top w:val="single" w:color="CCCCCC" w:sz="1"/>
              <w:left w:val="single" w:color="CCCCCC" w:sz="1"/>
              <w:bottom w:val="single" w:color="CCCCCC" w:sz="1"/>
              <w:right w:val="single" w:color="CCCCCC" w:sz="1"/>
            </w:tcBorders>
          </w:tcPr>
          <w:p>
            <w:r>
              <w:t xml:space="preserve">Immediate</w:t>
            </w:r>
          </w:p>
        </w:tc>
        <w:tc>
          <w:tcPr>
            <w:tcW w:type="dxa" w:w="2000"/>
            <w:tcBorders>
              <w:top w:val="single" w:color="CCCCCC" w:sz="1"/>
              <w:left w:val="single" w:color="CCCCCC" w:sz="1"/>
              <w:bottom w:val="single" w:color="CCCCCC" w:sz="1"/>
              <w:right w:val="single" w:color="CCCCCC" w:sz="1"/>
            </w:tcBorders>
          </w:tcPr>
          <w:p>
            <w:r>
              <w:t xml:space="preserve">24 hours</w:t>
            </w:r>
          </w:p>
        </w:tc>
        <w:tc>
          <w:tcPr>
            <w:tcW w:type="dxa" w:w="2660"/>
            <w:tcBorders>
              <w:top w:val="single" w:color="CCCCCC" w:sz="1"/>
              <w:left w:val="single" w:color="CCCCCC" w:sz="1"/>
              <w:bottom w:val="single" w:color="CCCCCC" w:sz="1"/>
              <w:right w:val="single" w:color="CCCCCC" w:sz="1"/>
            </w:tcBorders>
          </w:tcPr>
          <w:p>
            <w:r>
              <w:t xml:space="preserve">Priority 1 work order, escalation at 12hrs</w:t>
            </w:r>
          </w:p>
        </w:tc>
      </w:tr>
      <w:tr>
        <w:tc>
          <w:tcPr>
            <w:tcW w:type="dxa" w:w="2500"/>
            <w:tcBorders>
              <w:top w:val="single" w:color="CCCCCC" w:sz="1"/>
              <w:left w:val="single" w:color="CCCCCC" w:sz="1"/>
              <w:bottom w:val="single" w:color="CCCCCC" w:sz="1"/>
              <w:right w:val="single" w:color="CCCCCC" w:sz="1"/>
            </w:tcBorders>
            <w:shd w:fill="F8F9FA" w:val="clear"/>
          </w:tcPr>
          <w:p>
            <w:r>
              <w:t xml:space="preserve">Significant (Damp/Mould)</w:t>
            </w:r>
          </w:p>
        </w:tc>
        <w:tc>
          <w:tcPr>
            <w:tcW w:type="dxa" w:w="2200"/>
            <w:tcBorders>
              <w:top w:val="single" w:color="CCCCCC" w:sz="1"/>
              <w:left w:val="single" w:color="CCCCCC" w:sz="1"/>
              <w:bottom w:val="single" w:color="CCCCCC" w:sz="1"/>
              <w:right w:val="single" w:color="CCCCCC" w:sz="1"/>
            </w:tcBorders>
            <w:shd w:fill="F8F9FA" w:val="clear"/>
          </w:tcPr>
          <w:p>
            <w:r>
              <w:t xml:space="preserve">10 working days</w:t>
            </w:r>
          </w:p>
        </w:tc>
        <w:tc>
          <w:tcPr>
            <w:tcW w:type="dxa" w:w="2000"/>
            <w:tcBorders>
              <w:top w:val="single" w:color="CCCCCC" w:sz="1"/>
              <w:left w:val="single" w:color="CCCCCC" w:sz="1"/>
              <w:bottom w:val="single" w:color="CCCCCC" w:sz="1"/>
              <w:right w:val="single" w:color="CCCCCC" w:sz="1"/>
            </w:tcBorders>
            <w:shd w:fill="F8F9FA" w:val="clear"/>
          </w:tcPr>
          <w:p>
            <w:r>
              <w:t xml:space="preserve">5 working days</w:t>
            </w:r>
          </w:p>
        </w:tc>
        <w:tc>
          <w:tcPr>
            <w:tcW w:type="dxa" w:w="2660"/>
            <w:tcBorders>
              <w:top w:val="single" w:color="CCCCCC" w:sz="1"/>
              <w:left w:val="single" w:color="CCCCCC" w:sz="1"/>
              <w:bottom w:val="single" w:color="CCCCCC" w:sz="1"/>
              <w:right w:val="single" w:color="CCCCCC" w:sz="1"/>
            </w:tcBorders>
            <w:shd w:fill="F8F9FA" w:val="clear"/>
          </w:tcPr>
          <w:p>
            <w:r>
              <w:t xml:space="preserve">Survey scheduling, remediation tracking</w:t>
            </w:r>
          </w:p>
        </w:tc>
      </w:tr>
      <w:tr>
        <w:tc>
          <w:tcPr>
            <w:tcW w:type="dxa" w:w="2500"/>
            <w:tcBorders>
              <w:top w:val="single" w:color="CCCCCC" w:sz="1"/>
              <w:left w:val="single" w:color="CCCCCC" w:sz="1"/>
              <w:bottom w:val="single" w:color="CCCCCC" w:sz="1"/>
              <w:right w:val="single" w:color="CCCCCC" w:sz="1"/>
            </w:tcBorders>
          </w:tcPr>
          <w:p>
            <w:r>
              <w:t xml:space="preserve">Vulnerable Tenant</w:t>
            </w:r>
          </w:p>
        </w:tc>
        <w:tc>
          <w:tcPr>
            <w:tcW w:type="dxa" w:w="2200"/>
            <w:tcBorders>
              <w:top w:val="single" w:color="CCCCCC" w:sz="1"/>
              <w:left w:val="single" w:color="CCCCCC" w:sz="1"/>
              <w:bottom w:val="single" w:color="CCCCCC" w:sz="1"/>
              <w:right w:val="single" w:color="CCCCCC" w:sz="1"/>
            </w:tcBorders>
          </w:tcPr>
          <w:p>
            <w:r>
              <w:t xml:space="preserve">Expedited</w:t>
            </w:r>
          </w:p>
        </w:tc>
        <w:tc>
          <w:tcPr>
            <w:tcW w:type="dxa" w:w="2000"/>
            <w:tcBorders>
              <w:top w:val="single" w:color="CCCCCC" w:sz="1"/>
              <w:left w:val="single" w:color="CCCCCC" w:sz="1"/>
              <w:bottom w:val="single" w:color="CCCCCC" w:sz="1"/>
              <w:right w:val="single" w:color="CCCCCC" w:sz="1"/>
            </w:tcBorders>
          </w:tcPr>
          <w:p>
            <w:r>
              <w:t xml:space="preserve">Expedited</w:t>
            </w:r>
          </w:p>
        </w:tc>
        <w:tc>
          <w:tcPr>
            <w:tcW w:type="dxa" w:w="2660"/>
            <w:tcBorders>
              <w:top w:val="single" w:color="CCCCCC" w:sz="1"/>
              <w:left w:val="single" w:color="CCCCCC" w:sz="1"/>
              <w:bottom w:val="single" w:color="CCCCCC" w:sz="1"/>
              <w:right w:val="single" w:color="CCCCCC" w:sz="1"/>
            </w:tcBorders>
          </w:tcPr>
          <w:p>
            <w:r>
              <w:t xml:space="preserve">Automatic escalation, decant assessment</w:t>
            </w:r>
          </w:p>
        </w:tc>
      </w:tr>
    </w:tbl>
    <w:p>
      <w:pPr>
        <w:pStyle w:val="Heading3"/>
      </w:pPr>
      <w:r>
        <w:t xml:space="preserve">4.3.3 AI-Powered Action Generation</w:t>
      </w:r>
    </w:p>
    <w:p>
      <w:pPr>
        <w:spacing w:after="200"/>
      </w:pPr>
      <w:r>
        <w:t xml:space="preserve">The Action Generator uses LLM reasoning combined with the rules engine to produce intelligent, context-aware remediation recommendations:</w:t>
      </w:r>
    </w:p>
    <w:p>
      <w:pPr>
        <w:pStyle w:val="ListParagraph"/>
        <w:numPr>
          <w:ilvl w:val="0"/>
          <w:numId w:val="5"/>
        </w:numPr>
      </w:pPr>
      <w:r>
        <w:rPr>
          <w:b/>
          <w:bCs/>
        </w:rPr>
        <w:t xml:space="preserve">Defect Analysis: </w:t>
      </w:r>
      <w:r>
        <w:t xml:space="preserve">LLM analyzes certificate defects, codes, and recommendations to understand required work</w:t>
      </w:r>
    </w:p>
    <w:p>
      <w:pPr>
        <w:pStyle w:val="ListParagraph"/>
        <w:numPr>
          <w:ilvl w:val="0"/>
          <w:numId w:val="5"/>
        </w:numPr>
      </w:pPr>
      <w:r>
        <w:rPr>
          <w:b/>
          <w:bCs/>
        </w:rPr>
        <w:t xml:space="preserve">Priority Scoring: </w:t>
      </w:r>
      <w:r>
        <w:t xml:space="preserve">Combines hazard severity, tenant vulnerability (age, health conditions, children), and regulatory timescales</w:t>
      </w:r>
    </w:p>
    <w:p>
      <w:pPr>
        <w:pStyle w:val="ListParagraph"/>
        <w:numPr>
          <w:ilvl w:val="0"/>
          <w:numId w:val="5"/>
        </w:numPr>
      </w:pPr>
      <w:r>
        <w:rPr>
          <w:b/>
          <w:bCs/>
        </w:rPr>
        <w:t xml:space="preserve">Work Order Generation: </w:t>
      </w:r>
      <w:r>
        <w:t xml:space="preserve">Creates structured work orders with SOR codes, estimated duration, required skills/materials</w:t>
      </w:r>
    </w:p>
    <w:p>
      <w:pPr>
        <w:pStyle w:val="ListParagraph"/>
        <w:numPr>
          <w:ilvl w:val="0"/>
          <w:numId w:val="5"/>
        </w:numPr>
      </w:pPr>
      <w:r>
        <w:rPr>
          <w:b/>
          <w:bCs/>
        </w:rPr>
        <w:t xml:space="preserve">Communication Templates: </w:t>
      </w:r>
      <w:r>
        <w:t xml:space="preserve">Generates tenant notification letters meeting Awaab's Law 3-day written summary requirement</w:t>
      </w:r>
    </w:p>
    <w:p>
      <w:pPr>
        <w:pStyle w:val="ListParagraph"/>
        <w:numPr>
          <w:ilvl w:val="0"/>
          <w:numId w:val="5"/>
        </w:numPr>
      </w:pPr>
      <w:r>
        <w:rPr>
          <w:b/>
          <w:bCs/>
        </w:rPr>
        <w:t xml:space="preserve">Escalation Triggers: </w:t>
      </w:r>
      <w:r>
        <w:t xml:space="preserve">Automatically escalates overdue items to appropriate management level based on time elapsed</w:t>
      </w:r>
    </w:p>
    <w:p>
      <w:r>
        <w:br w:type="page"/>
      </w:r>
    </w:p>
    <w:p>
      <w:pPr>
        <w:pStyle w:val="Heading2"/>
      </w:pPr>
      <w:r>
        <w:t xml:space="preserve">4.4 Integration Layer</w:t>
      </w:r>
    </w:p>
    <w:p>
      <w:pPr>
        <w:pStyle w:val="Heading3"/>
      </w:pPr>
      <w:r>
        <w:t xml:space="preserve">4.4.1 API-First Integration (Modern HMS)</w:t>
      </w:r>
    </w:p>
    <w:p>
      <w:pPr>
        <w:spacing w:after="200"/>
      </w:pPr>
      <w:r>
        <w:t xml:space="preserve">For modern HMS platforms like iProperty Cloud and Dynamics 365-based solutions, the system provides RESTful API integration:</w:t>
      </w:r>
    </w:p>
    <w:p>
      <w:pPr>
        <w:spacing w:after="100"/>
      </w:pPr>
      <w:r>
        <w:rPr>
          <w:b/>
          <w:bCs/>
        </w:rPr>
        <w:t xml:space="preserve">iProperty Cloud Integration:</w:t>
      </w:r>
    </w:p>
    <w:p>
      <w:pPr>
        <w:pStyle w:val="ListParagraph"/>
        <w:numPr>
          <w:ilvl w:val="0"/>
          <w:numId w:val="2"/>
        </w:numPr>
      </w:pPr>
      <w:r>
        <w:t xml:space="preserve">Native Dataverse/OData v4 API integration via Web API</w:t>
      </w:r>
    </w:p>
    <w:p>
      <w:pPr>
        <w:pStyle w:val="ListParagraph"/>
        <w:numPr>
          <w:ilvl w:val="0"/>
          <w:numId w:val="2"/>
        </w:numPr>
      </w:pPr>
      <w:r>
        <w:t xml:space="preserve">Direct entity updates: Compliance records, work orders, property data</w:t>
      </w:r>
    </w:p>
    <w:p>
      <w:pPr>
        <w:pStyle w:val="ListParagraph"/>
        <w:numPr>
          <w:ilvl w:val="0"/>
          <w:numId w:val="2"/>
        </w:numPr>
      </w:pPr>
      <w:r>
        <w:t xml:space="preserve">Power Automate triggers for workflow orchestration</w:t>
      </w:r>
    </w:p>
    <w:p>
      <w:pPr>
        <w:pStyle w:val="ListParagraph"/>
        <w:numPr>
          <w:ilvl w:val="0"/>
          <w:numId w:val="2"/>
        </w:numPr>
      </w:pPr>
      <w:r>
        <w:t xml:space="preserve">Copilot integration for AI-assisted compliance insights in user interface</w:t>
      </w:r>
    </w:p>
    <w:p>
      <w:pPr>
        <w:spacing w:before="200" w:after="100"/>
      </w:pPr>
      <w:r>
        <w:rPr>
          <w:b/>
          <w:bCs/>
        </w:rPr>
        <w:t xml:space="preserve">Generic D365/Dataverse Integration:</w:t>
      </w:r>
    </w:p>
    <w:p>
      <w:pPr>
        <w:pStyle w:val="ListParagraph"/>
        <w:numPr>
          <w:ilvl w:val="0"/>
          <w:numId w:val="2"/>
        </w:numPr>
      </w:pPr>
      <w:r>
        <w:t xml:space="preserve">Standard Dataverse connector supporting any D365 CE deployment</w:t>
      </w:r>
    </w:p>
    <w:p>
      <w:pPr>
        <w:pStyle w:val="ListParagraph"/>
        <w:numPr>
          <w:ilvl w:val="0"/>
          <w:numId w:val="2"/>
        </w:numPr>
      </w:pPr>
      <w:r>
        <w:t xml:space="preserve">Entity mapping configuration for organization-specific data models</w:t>
      </w:r>
    </w:p>
    <w:p>
      <w:pPr>
        <w:pStyle w:val="ListParagraph"/>
        <w:numPr>
          <w:ilvl w:val="0"/>
          <w:numId w:val="2"/>
        </w:numPr>
      </w:pPr>
      <w:r>
        <w:t xml:space="preserve">Azure Service Bus for asynchronous processing of high-volume certificate batches</w:t>
      </w:r>
    </w:p>
    <w:p>
      <w:pPr>
        <w:pStyle w:val="Heading3"/>
      </w:pPr>
      <w:r>
        <w:t xml:space="preserve">4.4.2 File-Feed Integration (Legacy HMS)</w:t>
      </w:r>
    </w:p>
    <w:p>
      <w:pPr>
        <w:spacing w:after="200"/>
      </w:pPr>
      <w:r>
        <w:t xml:space="preserve">For legacy systems without robust API support, the system generates structured data files for import:</w:t>
      </w:r>
    </w:p>
    <w:p>
      <w:pPr>
        <w:pStyle w:val="ListParagraph"/>
        <w:numPr>
          <w:ilvl w:val="0"/>
          <w:numId w:val="2"/>
        </w:numPr>
      </w:pPr>
      <w:r>
        <w:rPr>
          <w:b/>
          <w:bCs/>
        </w:rPr>
        <w:t xml:space="preserve">CSV/Excel Feeds: </w:t>
      </w:r>
      <w:r>
        <w:t xml:space="preserve">Configurable export templates matching HMS import specifications</w:t>
      </w:r>
    </w:p>
    <w:p>
      <w:pPr>
        <w:pStyle w:val="ListParagraph"/>
        <w:numPr>
          <w:ilvl w:val="0"/>
          <w:numId w:val="2"/>
        </w:numPr>
      </w:pPr>
      <w:r>
        <w:rPr>
          <w:b/>
          <w:bCs/>
        </w:rPr>
        <w:t xml:space="preserve">XML Feeds: </w:t>
      </w:r>
      <w:r>
        <w:t xml:space="preserve">For systems supporting structured XML imports (e.g., Civica Cx)</w:t>
      </w:r>
    </w:p>
    <w:p>
      <w:pPr>
        <w:pStyle w:val="ListParagraph"/>
        <w:numPr>
          <w:ilvl w:val="0"/>
          <w:numId w:val="2"/>
        </w:numPr>
      </w:pPr>
      <w:r>
        <w:rPr>
          <w:b/>
          <w:bCs/>
        </w:rPr>
        <w:t xml:space="preserve">Scheduled Delivery: </w:t>
      </w:r>
      <w:r>
        <w:t xml:space="preserve">Automated SFTP delivery at configured intervals with acknowledgment tracking</w:t>
      </w:r>
    </w:p>
    <w:p>
      <w:pPr>
        <w:pStyle w:val="ListParagraph"/>
        <w:numPr>
          <w:ilvl w:val="0"/>
          <w:numId w:val="2"/>
        </w:numPr>
      </w:pPr>
      <w:r>
        <w:rPr>
          <w:b/>
          <w:bCs/>
        </w:rPr>
        <w:t xml:space="preserve">Reconciliation Reports: </w:t>
      </w:r>
      <w:r>
        <w:t xml:space="preserve">Automated comparison of submitted vs. imported records to identify failures</w:t>
      </w:r>
    </w:p>
    <w:p>
      <w:pPr>
        <w:pStyle w:val="Heading3"/>
      </w:pPr>
      <w:r>
        <w:t xml:space="preserve">4.4.3 HMS Connector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2000"/>
        <w:gridCol w:w="256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HMS Platform</w:t>
            </w:r>
          </w:p>
        </w:tc>
        <w:tc>
          <w:tcPr>
            <w:tcW w:type="dxa" w:w="23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Primary Method</w:t>
            </w:r>
          </w:p>
        </w:tc>
        <w:tc>
          <w:tcPr>
            <w:tcW w:type="dxa" w:w="20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Fallback</w:t>
            </w:r>
          </w:p>
        </w:tc>
        <w:tc>
          <w:tcPr>
            <w:tcW w:type="dxa" w:w="256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Connector Status</w:t>
            </w:r>
          </w:p>
        </w:tc>
      </w:tr>
      <w:tr>
        <w:tc>
          <w:tcPr>
            <w:tcW w:type="dxa" w:w="2500"/>
            <w:tcBorders>
              <w:top w:val="single" w:color="CCCCCC" w:sz="1"/>
              <w:left w:val="single" w:color="CCCCCC" w:sz="1"/>
              <w:bottom w:val="single" w:color="CCCCCC" w:sz="1"/>
              <w:right w:val="single" w:color="CCCCCC" w:sz="1"/>
            </w:tcBorders>
          </w:tcPr>
          <w:p>
            <w:r>
              <w:t xml:space="preserve">iProperty Cloud</w:t>
            </w:r>
          </w:p>
        </w:tc>
        <w:tc>
          <w:tcPr>
            <w:tcW w:type="dxa" w:w="2300"/>
            <w:tcBorders>
              <w:top w:val="single" w:color="CCCCCC" w:sz="1"/>
              <w:left w:val="single" w:color="CCCCCC" w:sz="1"/>
              <w:bottom w:val="single" w:color="CCCCCC" w:sz="1"/>
              <w:right w:val="single" w:color="CCCCCC" w:sz="1"/>
            </w:tcBorders>
          </w:tcPr>
          <w:p>
            <w:r>
              <w:t xml:space="preserve">Dataverse API</w:t>
            </w:r>
          </w:p>
        </w:tc>
        <w:tc>
          <w:tcPr>
            <w:tcW w:type="dxa" w:w="2000"/>
            <w:tcBorders>
              <w:top w:val="single" w:color="CCCCCC" w:sz="1"/>
              <w:left w:val="single" w:color="CCCCCC" w:sz="1"/>
              <w:bottom w:val="single" w:color="CCCCCC" w:sz="1"/>
              <w:right w:val="single" w:color="CCCCCC" w:sz="1"/>
            </w:tcBorders>
          </w:tcPr>
          <w:p>
            <w:r>
              <w:t xml:space="preserve">Power Automate</w:t>
            </w:r>
          </w:p>
        </w:tc>
        <w:tc>
          <w:tcPr>
            <w:tcW w:type="dxa" w:w="2560"/>
            <w:tcBorders>
              <w:top w:val="single" w:color="CCCCCC" w:sz="1"/>
              <w:left w:val="single" w:color="CCCCCC" w:sz="1"/>
              <w:bottom w:val="single" w:color="CCCCCC" w:sz="1"/>
              <w:right w:val="single" w:color="CCCCCC" w:sz="1"/>
            </w:tcBorders>
          </w:tcPr>
          <w:p>
            <w:r>
              <w:rPr>
                <w:color w:val="27AE60"/>
              </w:rPr>
              <w:t xml:space="preserve">Native Integration</w:t>
            </w:r>
          </w:p>
        </w:tc>
      </w:tr>
      <w:tr>
        <w:tc>
          <w:tcPr>
            <w:tcW w:type="dxa" w:w="2500"/>
            <w:tcBorders>
              <w:top w:val="single" w:color="CCCCCC" w:sz="1"/>
              <w:left w:val="single" w:color="CCCCCC" w:sz="1"/>
              <w:bottom w:val="single" w:color="CCCCCC" w:sz="1"/>
              <w:right w:val="single" w:color="CCCCCC" w:sz="1"/>
            </w:tcBorders>
            <w:shd w:fill="F8F9FA" w:val="clear"/>
          </w:tcPr>
          <w:p>
            <w:r>
              <w:t xml:space="preserve">Dynamics 365 CE</w:t>
            </w:r>
          </w:p>
        </w:tc>
        <w:tc>
          <w:tcPr>
            <w:tcW w:type="dxa" w:w="2300"/>
            <w:tcBorders>
              <w:top w:val="single" w:color="CCCCCC" w:sz="1"/>
              <w:left w:val="single" w:color="CCCCCC" w:sz="1"/>
              <w:bottom w:val="single" w:color="CCCCCC" w:sz="1"/>
              <w:right w:val="single" w:color="CCCCCC" w:sz="1"/>
            </w:tcBorders>
            <w:shd w:fill="F8F9FA" w:val="clear"/>
          </w:tcPr>
          <w:p>
            <w:r>
              <w:t xml:space="preserve">Web API (OData)</w:t>
            </w:r>
          </w:p>
        </w:tc>
        <w:tc>
          <w:tcPr>
            <w:tcW w:type="dxa" w:w="2000"/>
            <w:tcBorders>
              <w:top w:val="single" w:color="CCCCCC" w:sz="1"/>
              <w:left w:val="single" w:color="CCCCCC" w:sz="1"/>
              <w:bottom w:val="single" w:color="CCCCCC" w:sz="1"/>
              <w:right w:val="single" w:color="CCCCCC" w:sz="1"/>
            </w:tcBorders>
            <w:shd w:fill="F8F9FA" w:val="clear"/>
          </w:tcPr>
          <w:p>
            <w:r>
              <w:t xml:space="preserve">CSV Export</w:t>
            </w:r>
          </w:p>
        </w:tc>
        <w:tc>
          <w:tcPr>
            <w:tcW w:type="dxa" w:w="2560"/>
            <w:tcBorders>
              <w:top w:val="single" w:color="CCCCCC" w:sz="1"/>
              <w:left w:val="single" w:color="CCCCCC" w:sz="1"/>
              <w:bottom w:val="single" w:color="CCCCCC" w:sz="1"/>
              <w:right w:val="single" w:color="CCCCCC" w:sz="1"/>
            </w:tcBorders>
            <w:shd w:fill="F8F9FA" w:val="clear"/>
          </w:tcPr>
          <w:p>
            <w:r>
              <w:rPr>
                <w:color w:val="27AE60"/>
              </w:rPr>
              <w:t xml:space="preserve">Native Integration</w:t>
            </w:r>
          </w:p>
        </w:tc>
      </w:tr>
      <w:tr>
        <w:tc>
          <w:tcPr>
            <w:tcW w:type="dxa" w:w="2500"/>
            <w:tcBorders>
              <w:top w:val="single" w:color="CCCCCC" w:sz="1"/>
              <w:left w:val="single" w:color="CCCCCC" w:sz="1"/>
              <w:bottom w:val="single" w:color="CCCCCC" w:sz="1"/>
              <w:right w:val="single" w:color="CCCCCC" w:sz="1"/>
            </w:tcBorders>
          </w:tcPr>
          <w:p>
            <w:r>
              <w:t xml:space="preserve">Civica Cx Housing</w:t>
            </w:r>
          </w:p>
        </w:tc>
        <w:tc>
          <w:tcPr>
            <w:tcW w:type="dxa" w:w="2300"/>
            <w:tcBorders>
              <w:top w:val="single" w:color="CCCCCC" w:sz="1"/>
              <w:left w:val="single" w:color="CCCCCC" w:sz="1"/>
              <w:bottom w:val="single" w:color="CCCCCC" w:sz="1"/>
              <w:right w:val="single" w:color="CCCCCC" w:sz="1"/>
            </w:tcBorders>
          </w:tcPr>
          <w:p>
            <w:r>
              <w:t xml:space="preserve">XML Feed</w:t>
            </w:r>
          </w:p>
        </w:tc>
        <w:tc>
          <w:tcPr>
            <w:tcW w:type="dxa" w:w="2000"/>
            <w:tcBorders>
              <w:top w:val="single" w:color="CCCCCC" w:sz="1"/>
              <w:left w:val="single" w:color="CCCCCC" w:sz="1"/>
              <w:bottom w:val="single" w:color="CCCCCC" w:sz="1"/>
              <w:right w:val="single" w:color="CCCCCC" w:sz="1"/>
            </w:tcBorders>
          </w:tcPr>
          <w:p>
            <w:r>
              <w:t xml:space="preserve">CSV Import</w:t>
            </w:r>
          </w:p>
        </w:tc>
        <w:tc>
          <w:tcPr>
            <w:tcW w:type="dxa" w:w="2560"/>
            <w:tcBorders>
              <w:top w:val="single" w:color="CCCCCC" w:sz="1"/>
              <w:left w:val="single" w:color="CCCCCC" w:sz="1"/>
              <w:bottom w:val="single" w:color="CCCCCC" w:sz="1"/>
              <w:right w:val="single" w:color="CCCCCC" w:sz="1"/>
            </w:tcBorders>
          </w:tcPr>
          <w:p>
            <w:r>
              <w:rPr>
                <w:color w:val="2E86AB"/>
              </w:rPr>
              <w:t xml:space="preserve">Pre-built Connector</w:t>
            </w:r>
          </w:p>
        </w:tc>
      </w:tr>
      <w:tr>
        <w:tc>
          <w:tcPr>
            <w:tcW w:type="dxa" w:w="2500"/>
            <w:tcBorders>
              <w:top w:val="single" w:color="CCCCCC" w:sz="1"/>
              <w:left w:val="single" w:color="CCCCCC" w:sz="1"/>
              <w:bottom w:val="single" w:color="CCCCCC" w:sz="1"/>
              <w:right w:val="single" w:color="CCCCCC" w:sz="1"/>
            </w:tcBorders>
            <w:shd w:fill="F8F9FA" w:val="clear"/>
          </w:tcPr>
          <w:p>
            <w:r>
              <w:t xml:space="preserve">MRI Housing</w:t>
            </w:r>
          </w:p>
        </w:tc>
        <w:tc>
          <w:tcPr>
            <w:tcW w:type="dxa" w:w="2300"/>
            <w:tcBorders>
              <w:top w:val="single" w:color="CCCCCC" w:sz="1"/>
              <w:left w:val="single" w:color="CCCCCC" w:sz="1"/>
              <w:bottom w:val="single" w:color="CCCCCC" w:sz="1"/>
              <w:right w:val="single" w:color="CCCCCC" w:sz="1"/>
            </w:tcBorders>
            <w:shd w:fill="F8F9FA" w:val="clear"/>
          </w:tcPr>
          <w:p>
            <w:r>
              <w:t xml:space="preserve">REST API</w:t>
            </w:r>
          </w:p>
        </w:tc>
        <w:tc>
          <w:tcPr>
            <w:tcW w:type="dxa" w:w="2000"/>
            <w:tcBorders>
              <w:top w:val="single" w:color="CCCCCC" w:sz="1"/>
              <w:left w:val="single" w:color="CCCCCC" w:sz="1"/>
              <w:bottom w:val="single" w:color="CCCCCC" w:sz="1"/>
              <w:right w:val="single" w:color="CCCCCC" w:sz="1"/>
            </w:tcBorders>
            <w:shd w:fill="F8F9FA" w:val="clear"/>
          </w:tcPr>
          <w:p>
            <w:r>
              <w:t xml:space="preserve">File Feed</w:t>
            </w:r>
          </w:p>
        </w:tc>
        <w:tc>
          <w:tcPr>
            <w:tcW w:type="dxa" w:w="2560"/>
            <w:tcBorders>
              <w:top w:val="single" w:color="CCCCCC" w:sz="1"/>
              <w:left w:val="single" w:color="CCCCCC" w:sz="1"/>
              <w:bottom w:val="single" w:color="CCCCCC" w:sz="1"/>
              <w:right w:val="single" w:color="CCCCCC" w:sz="1"/>
            </w:tcBorders>
            <w:shd w:fill="F8F9FA" w:val="clear"/>
          </w:tcPr>
          <w:p>
            <w:r>
              <w:rPr>
                <w:color w:val="2E86AB"/>
              </w:rPr>
              <w:t xml:space="preserve">Pre-built Connector</w:t>
            </w:r>
          </w:p>
        </w:tc>
      </w:tr>
      <w:tr>
        <w:tc>
          <w:tcPr>
            <w:tcW w:type="dxa" w:w="2500"/>
            <w:tcBorders>
              <w:top w:val="single" w:color="CCCCCC" w:sz="1"/>
              <w:left w:val="single" w:color="CCCCCC" w:sz="1"/>
              <w:bottom w:val="single" w:color="CCCCCC" w:sz="1"/>
              <w:right w:val="single" w:color="CCCCCC" w:sz="1"/>
            </w:tcBorders>
          </w:tcPr>
          <w:p>
            <w:r>
              <w:t xml:space="preserve">NEC Housing</w:t>
            </w:r>
          </w:p>
        </w:tc>
        <w:tc>
          <w:tcPr>
            <w:tcW w:type="dxa" w:w="2300"/>
            <w:tcBorders>
              <w:top w:val="single" w:color="CCCCCC" w:sz="1"/>
              <w:left w:val="single" w:color="CCCCCC" w:sz="1"/>
              <w:bottom w:val="single" w:color="CCCCCC" w:sz="1"/>
              <w:right w:val="single" w:color="CCCCCC" w:sz="1"/>
            </w:tcBorders>
          </w:tcPr>
          <w:p>
            <w:r>
              <w:t xml:space="preserve">CSV/Excel Feed</w:t>
            </w:r>
          </w:p>
        </w:tc>
        <w:tc>
          <w:tcPr>
            <w:tcW w:type="dxa" w:w="2000"/>
            <w:tcBorders>
              <w:top w:val="single" w:color="CCCCCC" w:sz="1"/>
              <w:left w:val="single" w:color="CCCCCC" w:sz="1"/>
              <w:bottom w:val="single" w:color="CCCCCC" w:sz="1"/>
              <w:right w:val="single" w:color="CCCCCC" w:sz="1"/>
            </w:tcBorders>
          </w:tcPr>
          <w:p>
            <w:r>
              <w:t xml:space="preserve">Manual Import</w:t>
            </w:r>
          </w:p>
        </w:tc>
        <w:tc>
          <w:tcPr>
            <w:tcW w:type="dxa" w:w="2560"/>
            <w:tcBorders>
              <w:top w:val="single" w:color="CCCCCC" w:sz="1"/>
              <w:left w:val="single" w:color="CCCCCC" w:sz="1"/>
              <w:bottom w:val="single" w:color="CCCCCC" w:sz="1"/>
              <w:right w:val="single" w:color="CCCCCC" w:sz="1"/>
            </w:tcBorders>
          </w:tcPr>
          <w:p>
            <w:r>
              <w:rPr>
                <w:color w:val="F39C12"/>
              </w:rPr>
              <w:t xml:space="preserve">File-based Integration</w:t>
            </w:r>
          </w:p>
        </w:tc>
      </w:tr>
      <w:tr>
        <w:tc>
          <w:tcPr>
            <w:tcW w:type="dxa" w:w="2500"/>
            <w:tcBorders>
              <w:top w:val="single" w:color="CCCCCC" w:sz="1"/>
              <w:left w:val="single" w:color="CCCCCC" w:sz="1"/>
              <w:bottom w:val="single" w:color="CCCCCC" w:sz="1"/>
              <w:right w:val="single" w:color="CCCCCC" w:sz="1"/>
            </w:tcBorders>
            <w:shd w:fill="F8F9FA" w:val="clear"/>
          </w:tcPr>
          <w:p>
            <w:r>
              <w:t xml:space="preserve">OHMS (Legacy)</w:t>
            </w:r>
          </w:p>
        </w:tc>
        <w:tc>
          <w:tcPr>
            <w:tcW w:type="dxa" w:w="2300"/>
            <w:tcBorders>
              <w:top w:val="single" w:color="CCCCCC" w:sz="1"/>
              <w:left w:val="single" w:color="CCCCCC" w:sz="1"/>
              <w:bottom w:val="single" w:color="CCCCCC" w:sz="1"/>
              <w:right w:val="single" w:color="CCCCCC" w:sz="1"/>
            </w:tcBorders>
            <w:shd w:fill="F8F9FA" w:val="clear"/>
          </w:tcPr>
          <w:p>
            <w:r>
              <w:t xml:space="preserve">CSV Feed</w:t>
            </w:r>
          </w:p>
        </w:tc>
        <w:tc>
          <w:tcPr>
            <w:tcW w:type="dxa" w:w="2000"/>
            <w:tcBorders>
              <w:top w:val="single" w:color="CCCCCC" w:sz="1"/>
              <w:left w:val="single" w:color="CCCCCC" w:sz="1"/>
              <w:bottom w:val="single" w:color="CCCCCC" w:sz="1"/>
              <w:right w:val="single" w:color="CCCCCC" w:sz="1"/>
            </w:tcBorders>
            <w:shd w:fill="F8F9FA" w:val="clear"/>
          </w:tcPr>
          <w:p>
            <w:r>
              <w:t xml:space="preserve">Manual Upload</w:t>
            </w:r>
          </w:p>
        </w:tc>
        <w:tc>
          <w:tcPr>
            <w:tcW w:type="dxa" w:w="2560"/>
            <w:tcBorders>
              <w:top w:val="single" w:color="CCCCCC" w:sz="1"/>
              <w:left w:val="single" w:color="CCCCCC" w:sz="1"/>
              <w:bottom w:val="single" w:color="CCCCCC" w:sz="1"/>
              <w:right w:val="single" w:color="CCCCCC" w:sz="1"/>
            </w:tcBorders>
            <w:shd w:fill="F8F9FA" w:val="clear"/>
          </w:tcPr>
          <w:p>
            <w:r>
              <w:rPr>
                <w:color w:val="F39C12"/>
              </w:rPr>
              <w:t xml:space="preserve">File-based Integration</w:t>
            </w:r>
          </w:p>
        </w:tc>
      </w:tr>
    </w:tbl>
    <w:p>
      <w:r>
        <w:br w:type="page"/>
      </w:r>
    </w:p>
    <w:p>
      <w:pPr>
        <w:pStyle w:val="Heading1"/>
      </w:pPr>
      <w:r>
        <w:t xml:space="preserve">5. Technology Stack Selection</w:t>
      </w:r>
    </w:p>
    <w:p>
      <w:pPr>
        <w:pStyle w:val="Heading2"/>
      </w:pPr>
      <w:r>
        <w:t xml:space="preserve">5.1 Core Platform: Microsoft Azure</w:t>
      </w:r>
    </w:p>
    <w:p>
      <w:pPr>
        <w:spacing w:after="200"/>
      </w:pPr>
      <w:r>
        <w:t xml:space="preserve">The solution is built on Microsoft Azure to leverage existing organizational investments and ensure compatibility with the Microsoft-centric housing sector: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Component</w:t>
            </w:r>
          </w:p>
        </w:tc>
        <w:tc>
          <w:tcPr>
            <w:tcW w:type="dxa" w:w="28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Technology</w:t>
            </w:r>
          </w:p>
        </w:tc>
        <w:tc>
          <w:tcPr>
            <w:tcW w:type="dxa" w:w="406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Justification</w:t>
            </w:r>
          </w:p>
        </w:tc>
      </w:tr>
      <w:tr>
        <w:tc>
          <w:tcPr>
            <w:tcW w:type="dxa" w:w="2500"/>
            <w:tcBorders>
              <w:top w:val="single" w:color="CCCCCC" w:sz="1"/>
              <w:left w:val="single" w:color="CCCCCC" w:sz="1"/>
              <w:bottom w:val="single" w:color="CCCCCC" w:sz="1"/>
              <w:right w:val="single" w:color="CCCCCC" w:sz="1"/>
            </w:tcBorders>
          </w:tcPr>
          <w:p>
            <w:r>
              <w:t xml:space="preserve">Compute</w:t>
            </w:r>
          </w:p>
        </w:tc>
        <w:tc>
          <w:tcPr>
            <w:tcW w:type="dxa" w:w="2800"/>
            <w:tcBorders>
              <w:top w:val="single" w:color="CCCCCC" w:sz="1"/>
              <w:left w:val="single" w:color="CCCCCC" w:sz="1"/>
              <w:bottom w:val="single" w:color="CCCCCC" w:sz="1"/>
              <w:right w:val="single" w:color="CCCCCC" w:sz="1"/>
            </w:tcBorders>
          </w:tcPr>
          <w:p>
            <w:r>
              <w:t xml:space="preserve">Azure Container Apps</w:t>
            </w:r>
          </w:p>
        </w:tc>
        <w:tc>
          <w:tcPr>
            <w:tcW w:type="dxa" w:w="4060"/>
            <w:tcBorders>
              <w:top w:val="single" w:color="CCCCCC" w:sz="1"/>
              <w:left w:val="single" w:color="CCCCCC" w:sz="1"/>
              <w:bottom w:val="single" w:color="CCCCCC" w:sz="1"/>
              <w:right w:val="single" w:color="CCCCCC" w:sz="1"/>
            </w:tcBorders>
          </w:tcPr>
          <w:p>
            <w:r>
              <w:t xml:space="preserve">Serverless containers with auto-scaling for variable certificate volumes</w:t>
            </w:r>
          </w:p>
        </w:tc>
      </w:tr>
      <w:tr>
        <w:tc>
          <w:tcPr>
            <w:tcW w:type="dxa" w:w="2500"/>
            <w:tcBorders>
              <w:top w:val="single" w:color="CCCCCC" w:sz="1"/>
              <w:left w:val="single" w:color="CCCCCC" w:sz="1"/>
              <w:bottom w:val="single" w:color="CCCCCC" w:sz="1"/>
              <w:right w:val="single" w:color="CCCCCC" w:sz="1"/>
            </w:tcBorders>
            <w:shd w:fill="F8F9FA" w:val="clear"/>
          </w:tcPr>
          <w:p>
            <w:r>
              <w:t xml:space="preserve">Orchestration</w:t>
            </w:r>
          </w:p>
        </w:tc>
        <w:tc>
          <w:tcPr>
            <w:tcW w:type="dxa" w:w="2800"/>
            <w:tcBorders>
              <w:top w:val="single" w:color="CCCCCC" w:sz="1"/>
              <w:left w:val="single" w:color="CCCCCC" w:sz="1"/>
              <w:bottom w:val="single" w:color="CCCCCC" w:sz="1"/>
              <w:right w:val="single" w:color="CCCCCC" w:sz="1"/>
            </w:tcBorders>
            <w:shd w:fill="F8F9FA" w:val="clear"/>
          </w:tcPr>
          <w:p>
            <w:r>
              <w:t xml:space="preserve">Azure Durable Functions</w:t>
            </w:r>
          </w:p>
        </w:tc>
        <w:tc>
          <w:tcPr>
            <w:tcW w:type="dxa" w:w="4060"/>
            <w:tcBorders>
              <w:top w:val="single" w:color="CCCCCC" w:sz="1"/>
              <w:left w:val="single" w:color="CCCCCC" w:sz="1"/>
              <w:bottom w:val="single" w:color="CCCCCC" w:sz="1"/>
              <w:right w:val="single" w:color="CCCCCC" w:sz="1"/>
            </w:tcBorders>
            <w:shd w:fill="F8F9FA" w:val="clear"/>
          </w:tcPr>
          <w:p>
            <w:r>
              <w:t xml:space="preserve">Long-running workflows with automatic retry and state management</w:t>
            </w:r>
          </w:p>
        </w:tc>
      </w:tr>
      <w:tr>
        <w:tc>
          <w:tcPr>
            <w:tcW w:type="dxa" w:w="2500"/>
            <w:tcBorders>
              <w:top w:val="single" w:color="CCCCCC" w:sz="1"/>
              <w:left w:val="single" w:color="CCCCCC" w:sz="1"/>
              <w:bottom w:val="single" w:color="CCCCCC" w:sz="1"/>
              <w:right w:val="single" w:color="CCCCCC" w:sz="1"/>
            </w:tcBorders>
          </w:tcPr>
          <w:p>
            <w:r>
              <w:t xml:space="preserve">Document AI</w:t>
            </w:r>
          </w:p>
        </w:tc>
        <w:tc>
          <w:tcPr>
            <w:tcW w:type="dxa" w:w="2800"/>
            <w:tcBorders>
              <w:top w:val="single" w:color="CCCCCC" w:sz="1"/>
              <w:left w:val="single" w:color="CCCCCC" w:sz="1"/>
              <w:bottom w:val="single" w:color="CCCCCC" w:sz="1"/>
              <w:right w:val="single" w:color="CCCCCC" w:sz="1"/>
            </w:tcBorders>
          </w:tcPr>
          <w:p>
            <w:r>
              <w:t xml:space="preserve">Azure AI Document Intelligence</w:t>
            </w:r>
          </w:p>
        </w:tc>
        <w:tc>
          <w:tcPr>
            <w:tcW w:type="dxa" w:w="4060"/>
            <w:tcBorders>
              <w:top w:val="single" w:color="CCCCCC" w:sz="1"/>
              <w:left w:val="single" w:color="CCCCCC" w:sz="1"/>
              <w:bottom w:val="single" w:color="CCCCCC" w:sz="1"/>
              <w:right w:val="single" w:color="CCCCCC" w:sz="1"/>
            </w:tcBorders>
          </w:tcPr>
          <w:p>
            <w:r>
              <w:t xml:space="preserve">Custom model training, layout analysis, handwriting recognition</w:t>
            </w:r>
          </w:p>
        </w:tc>
      </w:tr>
      <w:tr>
        <w:tc>
          <w:tcPr>
            <w:tcW w:type="dxa" w:w="2500"/>
            <w:tcBorders>
              <w:top w:val="single" w:color="CCCCCC" w:sz="1"/>
              <w:left w:val="single" w:color="CCCCCC" w:sz="1"/>
              <w:bottom w:val="single" w:color="CCCCCC" w:sz="1"/>
              <w:right w:val="single" w:color="CCCCCC" w:sz="1"/>
            </w:tcBorders>
            <w:shd w:fill="F8F9FA" w:val="clear"/>
          </w:tcPr>
          <w:p>
            <w:r>
              <w:t xml:space="preserve">LLM Services</w:t>
            </w:r>
          </w:p>
        </w:tc>
        <w:tc>
          <w:tcPr>
            <w:tcW w:type="dxa" w:w="2800"/>
            <w:tcBorders>
              <w:top w:val="single" w:color="CCCCCC" w:sz="1"/>
              <w:left w:val="single" w:color="CCCCCC" w:sz="1"/>
              <w:bottom w:val="single" w:color="CCCCCC" w:sz="1"/>
              <w:right w:val="single" w:color="CCCCCC" w:sz="1"/>
            </w:tcBorders>
            <w:shd w:fill="F8F9FA" w:val="clear"/>
          </w:tcPr>
          <w:p>
            <w:r>
              <w:t xml:space="preserve">Azure OpenAI + Anthropic Claude</w:t>
            </w:r>
          </w:p>
        </w:tc>
        <w:tc>
          <w:tcPr>
            <w:tcW w:type="dxa" w:w="4060"/>
            <w:tcBorders>
              <w:top w:val="single" w:color="CCCCCC" w:sz="1"/>
              <w:left w:val="single" w:color="CCCCCC" w:sz="1"/>
              <w:bottom w:val="single" w:color="CCCCCC" w:sz="1"/>
              <w:right w:val="single" w:color="CCCCCC" w:sz="1"/>
            </w:tcBorders>
            <w:shd w:fill="F8F9FA" w:val="clear"/>
          </w:tcPr>
          <w:p>
            <w:r>
              <w:t xml:space="preserve">Multi-model strategy: GPT-4o for extraction, Claude for reasoning</w:t>
            </w:r>
          </w:p>
        </w:tc>
      </w:tr>
      <w:tr>
        <w:tc>
          <w:tcPr>
            <w:tcW w:type="dxa" w:w="2500"/>
            <w:tcBorders>
              <w:top w:val="single" w:color="CCCCCC" w:sz="1"/>
              <w:left w:val="single" w:color="CCCCCC" w:sz="1"/>
              <w:bottom w:val="single" w:color="CCCCCC" w:sz="1"/>
              <w:right w:val="single" w:color="CCCCCC" w:sz="1"/>
            </w:tcBorders>
          </w:tcPr>
          <w:p>
            <w:r>
              <w:t xml:space="preserve">Database</w:t>
            </w:r>
          </w:p>
        </w:tc>
        <w:tc>
          <w:tcPr>
            <w:tcW w:type="dxa" w:w="2800"/>
            <w:tcBorders>
              <w:top w:val="single" w:color="CCCCCC" w:sz="1"/>
              <w:left w:val="single" w:color="CCCCCC" w:sz="1"/>
              <w:bottom w:val="single" w:color="CCCCCC" w:sz="1"/>
              <w:right w:val="single" w:color="CCCCCC" w:sz="1"/>
            </w:tcBorders>
          </w:tcPr>
          <w:p>
            <w:r>
              <w:t xml:space="preserve">Azure SQL + Cosmos DB</w:t>
            </w:r>
          </w:p>
        </w:tc>
        <w:tc>
          <w:tcPr>
            <w:tcW w:type="dxa" w:w="4060"/>
            <w:tcBorders>
              <w:top w:val="single" w:color="CCCCCC" w:sz="1"/>
              <w:left w:val="single" w:color="CCCCCC" w:sz="1"/>
              <w:bottom w:val="single" w:color="CCCCCC" w:sz="1"/>
              <w:right w:val="single" w:color="CCCCCC" w:sz="1"/>
            </w:tcBorders>
          </w:tcPr>
          <w:p>
            <w:r>
              <w:t xml:space="preserve">SQL for structured compliance data, Cosmos for document storage</w:t>
            </w:r>
          </w:p>
        </w:tc>
      </w:tr>
      <w:tr>
        <w:tc>
          <w:tcPr>
            <w:tcW w:type="dxa" w:w="2500"/>
            <w:tcBorders>
              <w:top w:val="single" w:color="CCCCCC" w:sz="1"/>
              <w:left w:val="single" w:color="CCCCCC" w:sz="1"/>
              <w:bottom w:val="single" w:color="CCCCCC" w:sz="1"/>
              <w:right w:val="single" w:color="CCCCCC" w:sz="1"/>
            </w:tcBorders>
            <w:shd w:fill="F8F9FA" w:val="clear"/>
          </w:tcPr>
          <w:p>
            <w:r>
              <w:t xml:space="preserve">Storage</w:t>
            </w:r>
          </w:p>
        </w:tc>
        <w:tc>
          <w:tcPr>
            <w:tcW w:type="dxa" w:w="2800"/>
            <w:tcBorders>
              <w:top w:val="single" w:color="CCCCCC" w:sz="1"/>
              <w:left w:val="single" w:color="CCCCCC" w:sz="1"/>
              <w:bottom w:val="single" w:color="CCCCCC" w:sz="1"/>
              <w:right w:val="single" w:color="CCCCCC" w:sz="1"/>
            </w:tcBorders>
            <w:shd w:fill="F8F9FA" w:val="clear"/>
          </w:tcPr>
          <w:p>
            <w:r>
              <w:t xml:space="preserve">Azure Blob Storage</w:t>
            </w:r>
          </w:p>
        </w:tc>
        <w:tc>
          <w:tcPr>
            <w:tcW w:type="dxa" w:w="4060"/>
            <w:tcBorders>
              <w:top w:val="single" w:color="CCCCCC" w:sz="1"/>
              <w:left w:val="single" w:color="CCCCCC" w:sz="1"/>
              <w:bottom w:val="single" w:color="CCCCCC" w:sz="1"/>
              <w:right w:val="single" w:color="CCCCCC" w:sz="1"/>
            </w:tcBorders>
            <w:shd w:fill="F8F9FA" w:val="clear"/>
          </w:tcPr>
          <w:p>
            <w:r>
              <w:t xml:space="preserve">Immutable storage with legal hold for compliance evidence</w:t>
            </w:r>
          </w:p>
        </w:tc>
      </w:tr>
      <w:tr>
        <w:tc>
          <w:tcPr>
            <w:tcW w:type="dxa" w:w="2500"/>
            <w:tcBorders>
              <w:top w:val="single" w:color="CCCCCC" w:sz="1"/>
              <w:left w:val="single" w:color="CCCCCC" w:sz="1"/>
              <w:bottom w:val="single" w:color="CCCCCC" w:sz="1"/>
              <w:right w:val="single" w:color="CCCCCC" w:sz="1"/>
            </w:tcBorders>
          </w:tcPr>
          <w:p>
            <w:r>
              <w:t xml:space="preserve">Messaging</w:t>
            </w:r>
          </w:p>
        </w:tc>
        <w:tc>
          <w:tcPr>
            <w:tcW w:type="dxa" w:w="2800"/>
            <w:tcBorders>
              <w:top w:val="single" w:color="CCCCCC" w:sz="1"/>
              <w:left w:val="single" w:color="CCCCCC" w:sz="1"/>
              <w:bottom w:val="single" w:color="CCCCCC" w:sz="1"/>
              <w:right w:val="single" w:color="CCCCCC" w:sz="1"/>
            </w:tcBorders>
          </w:tcPr>
          <w:p>
            <w:r>
              <w:t xml:space="preserve">Azure Service Bus</w:t>
            </w:r>
          </w:p>
        </w:tc>
        <w:tc>
          <w:tcPr>
            <w:tcW w:type="dxa" w:w="4060"/>
            <w:tcBorders>
              <w:top w:val="single" w:color="CCCCCC" w:sz="1"/>
              <w:left w:val="single" w:color="CCCCCC" w:sz="1"/>
              <w:bottom w:val="single" w:color="CCCCCC" w:sz="1"/>
              <w:right w:val="single" w:color="CCCCCC" w:sz="1"/>
            </w:tcBorders>
          </w:tcPr>
          <w:p>
            <w:r>
              <w:t xml:space="preserve">Reliable async messaging for HMS integration decoupling</w:t>
            </w:r>
          </w:p>
        </w:tc>
      </w:tr>
      <w:tr>
        <w:tc>
          <w:tcPr>
            <w:tcW w:type="dxa" w:w="2500"/>
            <w:tcBorders>
              <w:top w:val="single" w:color="CCCCCC" w:sz="1"/>
              <w:left w:val="single" w:color="CCCCCC" w:sz="1"/>
              <w:bottom w:val="single" w:color="CCCCCC" w:sz="1"/>
              <w:right w:val="single" w:color="CCCCCC" w:sz="1"/>
            </w:tcBorders>
            <w:shd w:fill="F8F9FA" w:val="clear"/>
          </w:tcPr>
          <w:p>
            <w:r>
              <w:t xml:space="preserve">API Gateway</w:t>
            </w:r>
          </w:p>
        </w:tc>
        <w:tc>
          <w:tcPr>
            <w:tcW w:type="dxa" w:w="2800"/>
            <w:tcBorders>
              <w:top w:val="single" w:color="CCCCCC" w:sz="1"/>
              <w:left w:val="single" w:color="CCCCCC" w:sz="1"/>
              <w:bottom w:val="single" w:color="CCCCCC" w:sz="1"/>
              <w:right w:val="single" w:color="CCCCCC" w:sz="1"/>
            </w:tcBorders>
            <w:shd w:fill="F8F9FA" w:val="clear"/>
          </w:tcPr>
          <w:p>
            <w:r>
              <w:t xml:space="preserve">Azure API Management</w:t>
            </w:r>
          </w:p>
        </w:tc>
        <w:tc>
          <w:tcPr>
            <w:tcW w:type="dxa" w:w="4060"/>
            <w:tcBorders>
              <w:top w:val="single" w:color="CCCCCC" w:sz="1"/>
              <w:left w:val="single" w:color="CCCCCC" w:sz="1"/>
              <w:bottom w:val="single" w:color="CCCCCC" w:sz="1"/>
              <w:right w:val="single" w:color="CCCCCC" w:sz="1"/>
            </w:tcBorders>
            <w:shd w:fill="F8F9FA" w:val="clear"/>
          </w:tcPr>
          <w:p>
            <w:r>
              <w:t xml:space="preserve">Rate limiting, authentication, versioning, developer portal</w:t>
            </w:r>
          </w:p>
        </w:tc>
      </w:tr>
      <w:tr>
        <w:tc>
          <w:tcPr>
            <w:tcW w:type="dxa" w:w="2500"/>
            <w:tcBorders>
              <w:top w:val="single" w:color="CCCCCC" w:sz="1"/>
              <w:left w:val="single" w:color="CCCCCC" w:sz="1"/>
              <w:bottom w:val="single" w:color="CCCCCC" w:sz="1"/>
              <w:right w:val="single" w:color="CCCCCC" w:sz="1"/>
            </w:tcBorders>
          </w:tcPr>
          <w:p>
            <w:r>
              <w:t xml:space="preserve">Monitoring</w:t>
            </w:r>
          </w:p>
        </w:tc>
        <w:tc>
          <w:tcPr>
            <w:tcW w:type="dxa" w:w="2800"/>
            <w:tcBorders>
              <w:top w:val="single" w:color="CCCCCC" w:sz="1"/>
              <w:left w:val="single" w:color="CCCCCC" w:sz="1"/>
              <w:bottom w:val="single" w:color="CCCCCC" w:sz="1"/>
              <w:right w:val="single" w:color="CCCCCC" w:sz="1"/>
            </w:tcBorders>
          </w:tcPr>
          <w:p>
            <w:r>
              <w:t xml:space="preserve">Azure Monitor + App Insights</w:t>
            </w:r>
          </w:p>
        </w:tc>
        <w:tc>
          <w:tcPr>
            <w:tcW w:type="dxa" w:w="4060"/>
            <w:tcBorders>
              <w:top w:val="single" w:color="CCCCCC" w:sz="1"/>
              <w:left w:val="single" w:color="CCCCCC" w:sz="1"/>
              <w:bottom w:val="single" w:color="CCCCCC" w:sz="1"/>
              <w:right w:val="single" w:color="CCCCCC" w:sz="1"/>
            </w:tcBorders>
          </w:tcPr>
          <w:p>
            <w:r>
              <w:t xml:space="preserve">End-to-end tracing, alerting, compliance dashboard metrics</w:t>
            </w:r>
          </w:p>
        </w:tc>
      </w:tr>
    </w:tbl>
    <w:p>
      <w:pPr>
        <w:pStyle w:val="Heading2"/>
      </w:pPr>
      <w:r>
        <w:t xml:space="preserve">5.2 AI/ML Architecture</w:t>
      </w:r>
    </w:p>
    <w:p>
      <w:pPr>
        <w:pStyle w:val="Heading3"/>
      </w:pPr>
      <w:r>
        <w:t xml:space="preserve">5.2.1 Multi-Model Strategy</w:t>
      </w:r>
    </w:p>
    <w:p>
      <w:pPr>
        <w:spacing w:after="200"/>
      </w:pPr>
      <w:r>
        <w:t xml:space="preserve">The solution employs a strategic combination of AI models optimized for different tasks:</w:t>
      </w:r>
    </w:p>
    <w:p>
      <w:pPr>
        <w:pStyle w:val="ListParagraph"/>
        <w:numPr>
          <w:ilvl w:val="0"/>
          <w:numId w:val="2"/>
        </w:numPr>
      </w:pPr>
      <w:r>
        <w:rPr>
          <w:b/>
          <w:bCs/>
        </w:rPr>
        <w:t xml:space="preserve">Azure AI Document Intelligence (Custom Neural Model): </w:t>
      </w:r>
      <w:r>
        <w:t xml:space="preserve">Trained on housing compliance certificate corpus for high-accuracy field extraction. Handles structured forms with consistent layouts.</w:t>
      </w:r>
    </w:p>
    <w:p>
      <w:pPr>
        <w:pStyle w:val="ListParagraph"/>
        <w:numPr>
          <w:ilvl w:val="0"/>
          <w:numId w:val="2"/>
        </w:numPr>
      </w:pPr>
      <w:r>
        <w:rPr>
          <w:b/>
          <w:bCs/>
        </w:rPr>
        <w:t xml:space="preserve">GPT-4o (Azure OpenAI): </w:t>
      </w:r>
      <w:r>
        <w:t xml:space="preserve">Multimodal understanding for varied certificate formats. Processes document images with contextual extraction prompts. Cost-effective for high-volume processing.</w:t>
      </w:r>
    </w:p>
    <w:p>
      <w:pPr>
        <w:pStyle w:val="ListParagraph"/>
        <w:numPr>
          <w:ilvl w:val="0"/>
          <w:numId w:val="2"/>
        </w:numPr>
      </w:pPr>
      <w:r>
        <w:rPr>
          <w:b/>
          <w:bCs/>
        </w:rPr>
        <w:t xml:space="preserve">Claude 4.5 Sonnet (Anthropic): </w:t>
      </w:r>
      <w:r>
        <w:t xml:space="preserve">Advanced reasoning for action generation, defect interpretation, and tenant communication drafting. Longer context window for multi-page certificates.</w:t>
      </w:r>
    </w:p>
    <w:p>
      <w:pPr>
        <w:pStyle w:val="ListParagraph"/>
        <w:numPr>
          <w:ilvl w:val="0"/>
          <w:numId w:val="2"/>
        </w:numPr>
      </w:pPr>
      <w:r>
        <w:rPr>
          <w:b/>
          <w:bCs/>
        </w:rPr>
        <w:t xml:space="preserve">Custom Fine-Tuned Classifier: </w:t>
      </w:r>
      <w:r>
        <w:t xml:space="preserve">DistilBERT-based model trained on UK housing certificate corpus for document type classification.</w:t>
      </w:r>
    </w:p>
    <w:p>
      <w:pPr>
        <w:pStyle w:val="Heading3"/>
      </w:pPr>
      <w:r>
        <w:t xml:space="preserve">5.2.2 Agentic AI Framework</w:t>
      </w:r>
    </w:p>
    <w:p>
      <w:pPr>
        <w:spacing w:after="200"/>
      </w:pPr>
      <w:r>
        <w:t xml:space="preserve">For complex compliance decisions, the system employs a LangGraph-based agentic architecture:</w:t>
      </w:r>
    </w:p>
    <w:p>
      <w:pPr>
        <w:pStyle w:val="ListParagraph"/>
        <w:numPr>
          <w:ilvl w:val="0"/>
          <w:numId w:val="2"/>
        </w:numPr>
      </w:pPr>
      <w:r>
        <w:rPr>
          <w:b/>
          <w:bCs/>
        </w:rPr>
        <w:t xml:space="preserve">Document Analyst Agent: </w:t>
      </w:r>
      <w:r>
        <w:t xml:space="preserve">Examines certificate content, identifies defects, and extracts compliance-relevant information</w:t>
      </w:r>
    </w:p>
    <w:p>
      <w:pPr>
        <w:pStyle w:val="ListParagraph"/>
        <w:numPr>
          <w:ilvl w:val="0"/>
          <w:numId w:val="2"/>
        </w:numPr>
      </w:pPr>
      <w:r>
        <w:rPr>
          <w:b/>
          <w:bCs/>
        </w:rPr>
        <w:t xml:space="preserve">Regulatory Checker Agent: </w:t>
      </w:r>
      <w:r>
        <w:t xml:space="preserve">Validates extracted data against applicable regulations and determines compliance status</w:t>
      </w:r>
    </w:p>
    <w:p>
      <w:pPr>
        <w:pStyle w:val="ListParagraph"/>
        <w:numPr>
          <w:ilvl w:val="0"/>
          <w:numId w:val="2"/>
        </w:numPr>
      </w:pPr>
      <w:r>
        <w:rPr>
          <w:b/>
          <w:bCs/>
        </w:rPr>
        <w:t xml:space="preserve">Action Planner Agent: </w:t>
      </w:r>
      <w:r>
        <w:t xml:space="preserve">Generates remediation recommendations, work orders, and priority assignments</w:t>
      </w:r>
    </w:p>
    <w:p>
      <w:pPr>
        <w:pStyle w:val="ListParagraph"/>
        <w:numPr>
          <w:ilvl w:val="0"/>
          <w:numId w:val="2"/>
        </w:numPr>
      </w:pPr>
      <w:r>
        <w:rPr>
          <w:b/>
          <w:bCs/>
        </w:rPr>
        <w:t xml:space="preserve">Communication Agent: </w:t>
      </w:r>
      <w:r>
        <w:t xml:space="preserve">Drafts tenant notifications and internal escalation communications</w:t>
      </w:r>
    </w:p>
    <w:p>
      <w:pPr>
        <w:pStyle w:val="ListParagraph"/>
        <w:numPr>
          <w:ilvl w:val="0"/>
          <w:numId w:val="2"/>
        </w:numPr>
      </w:pPr>
      <w:r>
        <w:rPr>
          <w:b/>
          <w:bCs/>
        </w:rPr>
        <w:t xml:space="preserve">Orchestrator Agent: </w:t>
      </w:r>
      <w:r>
        <w:t xml:space="preserve">Coordinates workflow between specialist agents and manages state</w:t>
      </w:r>
    </w:p>
    <w:p>
      <w:r>
        <w:br w:type="page"/>
      </w:r>
    </w:p>
    <w:p>
      <w:pPr>
        <w:pStyle w:val="Heading1"/>
      </w:pPr>
      <w:r>
        <w:t xml:space="preserve">6. Implementation Roadmap</w:t>
      </w:r>
    </w:p>
    <w:p>
      <w:pPr>
        <w:pStyle w:val="Heading2"/>
      </w:pPr>
      <w:r>
        <w:t xml:space="preserve">6.1 Phased Delivery Approach</w:t>
      </w:r>
    </w:p>
    <w:p>
      <w:pPr>
        <w:spacing w:after="200"/>
      </w:pPr>
      <w:r>
        <w:t xml:space="preserve">The implementation follows a phased approach aligned with regulatory timelines and organizational readiness:</w:t>
      </w:r>
    </w:p>
    <w:p>
      <w:pPr>
        <w:pStyle w:val="Heading3"/>
      </w:pPr>
      <w:r>
        <w:t xml:space="preserve">Phase 1: Foundation (Weeks 1-8)</w:t>
      </w:r>
    </w:p>
    <w:p>
      <w:pPr>
        <w:pStyle w:val="ListParagraph"/>
        <w:numPr>
          <w:ilvl w:val="0"/>
          <w:numId w:val="6"/>
        </w:numPr>
      </w:pPr>
      <w:r>
        <w:t xml:space="preserve">Azure infrastructure provisioning and security configuration</w:t>
      </w:r>
    </w:p>
    <w:p>
      <w:pPr>
        <w:pStyle w:val="ListParagraph"/>
        <w:numPr>
          <w:ilvl w:val="0"/>
          <w:numId w:val="6"/>
        </w:numPr>
      </w:pPr>
      <w:r>
        <w:t xml:space="preserve">Core document processing pipeline with Azure AI Document Intelligence</w:t>
      </w:r>
    </w:p>
    <w:p>
      <w:pPr>
        <w:pStyle w:val="ListParagraph"/>
        <w:numPr>
          <w:ilvl w:val="0"/>
          <w:numId w:val="6"/>
        </w:numPr>
      </w:pPr>
      <w:r>
        <w:t xml:space="preserve">Gas Safety (CP12) and EICR certificate processing</w:t>
      </w:r>
    </w:p>
    <w:p>
      <w:pPr>
        <w:pStyle w:val="ListParagraph"/>
        <w:numPr>
          <w:ilvl w:val="0"/>
          <w:numId w:val="6"/>
        </w:numPr>
      </w:pPr>
      <w:r>
        <w:t xml:space="preserve">Primary HMS integration (iProperty Cloud or D365)</w:t>
      </w:r>
    </w:p>
    <w:p>
      <w:pPr>
        <w:pStyle w:val="ListParagraph"/>
        <w:numPr>
          <w:ilvl w:val="0"/>
          <w:numId w:val="6"/>
        </w:numPr>
      </w:pPr>
      <w:r>
        <w:t xml:space="preserve">SharePoint ingestion channel</w:t>
      </w:r>
    </w:p>
    <w:p>
      <w:pPr>
        <w:pStyle w:val="ListParagraph"/>
        <w:numPr>
          <w:ilvl w:val="0"/>
          <w:numId w:val="6"/>
        </w:numPr>
        <w:spacing w:after="200"/>
      </w:pPr>
      <w:r>
        <w:t xml:space="preserve">Basic compliance dashboard and reporting</w:t>
      </w:r>
    </w:p>
    <w:p>
      <w:pPr>
        <w:pStyle w:val="Heading3"/>
      </w:pPr>
      <w:r>
        <w:t xml:space="preserve">Phase 2: Awaab's Law Readiness (Weeks 9-14)</w:t>
      </w:r>
    </w:p>
    <w:p>
      <w:pPr>
        <w:pStyle w:val="ListParagraph"/>
        <w:numPr>
          <w:ilvl w:val="0"/>
          <w:numId w:val="7"/>
        </w:numPr>
      </w:pPr>
      <w:r>
        <w:t xml:space="preserve">Damp &amp; Mould certificate processing</w:t>
      </w:r>
    </w:p>
    <w:p>
      <w:pPr>
        <w:pStyle w:val="ListParagraph"/>
        <w:numPr>
          <w:ilvl w:val="0"/>
          <w:numId w:val="7"/>
        </w:numPr>
      </w:pPr>
      <w:r>
        <w:t xml:space="preserve">Awaab's Law timescale tracking and enforcement</w:t>
      </w:r>
    </w:p>
    <w:p>
      <w:pPr>
        <w:pStyle w:val="ListParagraph"/>
        <w:numPr>
          <w:ilvl w:val="0"/>
          <w:numId w:val="7"/>
        </w:numPr>
      </w:pPr>
      <w:r>
        <w:t xml:space="preserve">Emergency hazard rapid response workflow</w:t>
      </w:r>
    </w:p>
    <w:p>
      <w:pPr>
        <w:pStyle w:val="ListParagraph"/>
        <w:numPr>
          <w:ilvl w:val="0"/>
          <w:numId w:val="7"/>
        </w:numPr>
      </w:pPr>
      <w:r>
        <w:t xml:space="preserve">Tenant vulnerability integration</w:t>
      </w:r>
    </w:p>
    <w:p>
      <w:pPr>
        <w:pStyle w:val="ListParagraph"/>
        <w:numPr>
          <w:ilvl w:val="0"/>
          <w:numId w:val="7"/>
        </w:numPr>
      </w:pPr>
      <w:r>
        <w:t xml:space="preserve">Automated communication generation (3-day written summary)</w:t>
      </w:r>
    </w:p>
    <w:p>
      <w:pPr>
        <w:pStyle w:val="ListParagraph"/>
        <w:numPr>
          <w:ilvl w:val="0"/>
          <w:numId w:val="7"/>
        </w:numPr>
        <w:spacing w:after="200"/>
      </w:pPr>
      <w:r>
        <w:t xml:space="preserve">Escalation and decant assessment workflows</w:t>
      </w:r>
    </w:p>
    <w:p>
      <w:pPr>
        <w:pStyle w:val="Heading3"/>
      </w:pPr>
      <w:r>
        <w:t xml:space="preserve">Phase 3: Full Big 6 Coverage (Weeks 15-20)</w:t>
      </w:r>
    </w:p>
    <w:p>
      <w:pPr>
        <w:pStyle w:val="ListParagraph"/>
        <w:numPr>
          <w:ilvl w:val="0"/>
          <w:numId w:val="8"/>
        </w:numPr>
      </w:pPr>
      <w:r>
        <w:t xml:space="preserve">Fire Safety (FRA, fire door surveys, alarm testing)</w:t>
      </w:r>
    </w:p>
    <w:p>
      <w:pPr>
        <w:pStyle w:val="ListParagraph"/>
        <w:numPr>
          <w:ilvl w:val="0"/>
          <w:numId w:val="8"/>
        </w:numPr>
      </w:pPr>
      <w:r>
        <w:t xml:space="preserve">Asbestos management surveys and re-inspections</w:t>
      </w:r>
    </w:p>
    <w:p>
      <w:pPr>
        <w:pStyle w:val="ListParagraph"/>
        <w:numPr>
          <w:ilvl w:val="0"/>
          <w:numId w:val="8"/>
        </w:numPr>
      </w:pPr>
      <w:r>
        <w:t xml:space="preserve">Water Safety/Legionella risk assessments</w:t>
      </w:r>
    </w:p>
    <w:p>
      <w:pPr>
        <w:pStyle w:val="ListParagraph"/>
        <w:numPr>
          <w:ilvl w:val="0"/>
          <w:numId w:val="8"/>
        </w:numPr>
      </w:pPr>
      <w:r>
        <w:t xml:space="preserve">LOLER lift examinations</w:t>
      </w:r>
    </w:p>
    <w:p>
      <w:pPr>
        <w:pStyle w:val="ListParagraph"/>
        <w:numPr>
          <w:ilvl w:val="0"/>
          <w:numId w:val="8"/>
        </w:numPr>
      </w:pPr>
      <w:r>
        <w:t xml:space="preserve">Additional ingestion channels (SFTP, email)</w:t>
      </w:r>
    </w:p>
    <w:p>
      <w:pPr>
        <w:pStyle w:val="ListParagraph"/>
        <w:numPr>
          <w:ilvl w:val="0"/>
          <w:numId w:val="8"/>
        </w:numPr>
        <w:spacing w:after="200"/>
      </w:pPr>
      <w:r>
        <w:t xml:space="preserve">AI action generation with work order creation</w:t>
      </w:r>
    </w:p>
    <w:p>
      <w:pPr>
        <w:pStyle w:val="Heading3"/>
      </w:pPr>
      <w:r>
        <w:t xml:space="preserve">Phase 4: Advanced Capabilities (Weeks 21-26)</w:t>
      </w:r>
    </w:p>
    <w:p>
      <w:pPr>
        <w:pStyle w:val="ListParagraph"/>
        <w:numPr>
          <w:ilvl w:val="0"/>
          <w:numId w:val="9"/>
        </w:numPr>
      </w:pPr>
      <w:r>
        <w:t xml:space="preserve">Agentic AI workflows for complex compliance decisions</w:t>
      </w:r>
    </w:p>
    <w:p>
      <w:pPr>
        <w:pStyle w:val="ListParagraph"/>
        <w:numPr>
          <w:ilvl w:val="0"/>
          <w:numId w:val="9"/>
        </w:numPr>
      </w:pPr>
      <w:r>
        <w:t xml:space="preserve">Building Safety Act Golden Thread integration</w:t>
      </w:r>
    </w:p>
    <w:p>
      <w:pPr>
        <w:pStyle w:val="ListParagraph"/>
        <w:numPr>
          <w:ilvl w:val="0"/>
          <w:numId w:val="9"/>
        </w:numPr>
      </w:pPr>
      <w:r>
        <w:t xml:space="preserve">TSM reporting automation</w:t>
      </w:r>
    </w:p>
    <w:p>
      <w:pPr>
        <w:pStyle w:val="ListParagraph"/>
        <w:numPr>
          <w:ilvl w:val="0"/>
          <w:numId w:val="9"/>
        </w:numPr>
      </w:pPr>
      <w:r>
        <w:t xml:space="preserve">Legacy HMS connectors (Civica, NEC, MRI)</w:t>
      </w:r>
    </w:p>
    <w:p>
      <w:pPr>
        <w:pStyle w:val="ListParagraph"/>
        <w:numPr>
          <w:ilvl w:val="0"/>
          <w:numId w:val="9"/>
        </w:numPr>
      </w:pPr>
      <w:r>
        <w:t xml:space="preserve">Mobile app for field workers</w:t>
      </w:r>
    </w:p>
    <w:p>
      <w:pPr>
        <w:pStyle w:val="ListParagraph"/>
        <w:numPr>
          <w:ilvl w:val="0"/>
          <w:numId w:val="9"/>
        </w:numPr>
      </w:pPr>
      <w:r>
        <w:t xml:space="preserve">Advanced analytics and predictive compliance</w:t>
      </w:r>
    </w:p>
    <w:p>
      <w:pPr>
        <w:pStyle w:val="Heading2"/>
      </w:pPr>
      <w:r>
        <w:t xml:space="preserve">6.2 Project Timeline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Phase</w:t>
            </w:r>
          </w:p>
        </w:tc>
        <w:tc>
          <w:tcPr>
            <w:tcW w:type="dxa" w:w="24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Duration</w:t>
            </w:r>
          </w:p>
        </w:tc>
        <w:tc>
          <w:tcPr>
            <w:tcW w:type="dxa" w:w="24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Target Date</w:t>
            </w:r>
          </w:p>
        </w:tc>
        <w:tc>
          <w:tcPr>
            <w:tcW w:type="dxa" w:w="216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Key Milestone</w:t>
            </w:r>
          </w:p>
        </w:tc>
      </w:tr>
      <w:tr>
        <w:tc>
          <w:tcPr>
            <w:tcW w:type="dxa" w:w="2400"/>
            <w:tcBorders>
              <w:top w:val="single" w:color="CCCCCC" w:sz="1"/>
              <w:left w:val="single" w:color="CCCCCC" w:sz="1"/>
              <w:bottom w:val="single" w:color="CCCCCC" w:sz="1"/>
              <w:right w:val="single" w:color="CCCCCC" w:sz="1"/>
            </w:tcBorders>
          </w:tcPr>
          <w:p>
            <w:r>
              <w:t xml:space="preserve">Phase 1: Foundation</w:t>
            </w:r>
          </w:p>
        </w:tc>
        <w:tc>
          <w:tcPr>
            <w:tcW w:type="dxa" w:w="2400"/>
            <w:tcBorders>
              <w:top w:val="single" w:color="CCCCCC" w:sz="1"/>
              <w:left w:val="single" w:color="CCCCCC" w:sz="1"/>
              <w:bottom w:val="single" w:color="CCCCCC" w:sz="1"/>
              <w:right w:val="single" w:color="CCCCCC" w:sz="1"/>
            </w:tcBorders>
          </w:tcPr>
          <w:p>
            <w:r>
              <w:t xml:space="preserve">8 weeks</w:t>
            </w:r>
          </w:p>
        </w:tc>
        <w:tc>
          <w:tcPr>
            <w:tcW w:type="dxa" w:w="2400"/>
            <w:tcBorders>
              <w:top w:val="single" w:color="CCCCCC" w:sz="1"/>
              <w:left w:val="single" w:color="CCCCCC" w:sz="1"/>
              <w:bottom w:val="single" w:color="CCCCCC" w:sz="1"/>
              <w:right w:val="single" w:color="CCCCCC" w:sz="1"/>
            </w:tcBorders>
          </w:tcPr>
          <w:p>
            <w:r>
              <w:t xml:space="preserve">Feb 2026</w:t>
            </w:r>
          </w:p>
        </w:tc>
        <w:tc>
          <w:tcPr>
            <w:tcW w:type="dxa" w:w="2160"/>
            <w:tcBorders>
              <w:top w:val="single" w:color="CCCCCC" w:sz="1"/>
              <w:left w:val="single" w:color="CCCCCC" w:sz="1"/>
              <w:bottom w:val="single" w:color="CCCCCC" w:sz="1"/>
              <w:right w:val="single" w:color="CCCCCC" w:sz="1"/>
            </w:tcBorders>
          </w:tcPr>
          <w:p>
            <w:r>
              <w:t xml:space="preserve">MVP Live</w:t>
            </w:r>
          </w:p>
        </w:tc>
      </w:tr>
      <w:tr>
        <w:tc>
          <w:tcPr>
            <w:tcW w:type="dxa" w:w="2400"/>
            <w:tcBorders>
              <w:top w:val="single" w:color="CCCCCC" w:sz="1"/>
              <w:left w:val="single" w:color="CCCCCC" w:sz="1"/>
              <w:bottom w:val="single" w:color="CCCCCC" w:sz="1"/>
              <w:right w:val="single" w:color="CCCCCC" w:sz="1"/>
            </w:tcBorders>
            <w:shd w:fill="F8F9FA" w:val="clear"/>
          </w:tcPr>
          <w:p>
            <w:r>
              <w:t xml:space="preserve">Phase 2: Awaab's Law</w:t>
            </w:r>
          </w:p>
        </w:tc>
        <w:tc>
          <w:tcPr>
            <w:tcW w:type="dxa" w:w="2400"/>
            <w:tcBorders>
              <w:top w:val="single" w:color="CCCCCC" w:sz="1"/>
              <w:left w:val="single" w:color="CCCCCC" w:sz="1"/>
              <w:bottom w:val="single" w:color="CCCCCC" w:sz="1"/>
              <w:right w:val="single" w:color="CCCCCC" w:sz="1"/>
            </w:tcBorders>
            <w:shd w:fill="F8F9FA" w:val="clear"/>
          </w:tcPr>
          <w:p>
            <w:r>
              <w:t xml:space="preserve">6 weeks</w:t>
            </w:r>
          </w:p>
        </w:tc>
        <w:tc>
          <w:tcPr>
            <w:tcW w:type="dxa" w:w="2400"/>
            <w:tcBorders>
              <w:top w:val="single" w:color="CCCCCC" w:sz="1"/>
              <w:left w:val="single" w:color="CCCCCC" w:sz="1"/>
              <w:bottom w:val="single" w:color="CCCCCC" w:sz="1"/>
              <w:right w:val="single" w:color="CCCCCC" w:sz="1"/>
            </w:tcBorders>
            <w:shd w:fill="F8F9FA" w:val="clear"/>
          </w:tcPr>
          <w:p>
            <w:r>
              <w:t xml:space="preserve">Apr 2026</w:t>
            </w:r>
          </w:p>
        </w:tc>
        <w:tc>
          <w:tcPr>
            <w:tcW w:type="dxa" w:w="2160"/>
            <w:tcBorders>
              <w:top w:val="single" w:color="CCCCCC" w:sz="1"/>
              <w:left w:val="single" w:color="CCCCCC" w:sz="1"/>
              <w:bottom w:val="single" w:color="CCCCCC" w:sz="1"/>
              <w:right w:val="single" w:color="CCCCCC" w:sz="1"/>
            </w:tcBorders>
            <w:shd w:fill="F8F9FA" w:val="clear"/>
          </w:tcPr>
          <w:p>
            <w:r>
              <w:t xml:space="preserve">Regulatory Ready</w:t>
            </w:r>
          </w:p>
        </w:tc>
      </w:tr>
      <w:tr>
        <w:tc>
          <w:tcPr>
            <w:tcW w:type="dxa" w:w="2400"/>
            <w:tcBorders>
              <w:top w:val="single" w:color="CCCCCC" w:sz="1"/>
              <w:left w:val="single" w:color="CCCCCC" w:sz="1"/>
              <w:bottom w:val="single" w:color="CCCCCC" w:sz="1"/>
              <w:right w:val="single" w:color="CCCCCC" w:sz="1"/>
            </w:tcBorders>
          </w:tcPr>
          <w:p>
            <w:r>
              <w:t xml:space="preserve">Phase 3: Full Big 6</w:t>
            </w:r>
          </w:p>
        </w:tc>
        <w:tc>
          <w:tcPr>
            <w:tcW w:type="dxa" w:w="2400"/>
            <w:tcBorders>
              <w:top w:val="single" w:color="CCCCCC" w:sz="1"/>
              <w:left w:val="single" w:color="CCCCCC" w:sz="1"/>
              <w:bottom w:val="single" w:color="CCCCCC" w:sz="1"/>
              <w:right w:val="single" w:color="CCCCCC" w:sz="1"/>
            </w:tcBorders>
          </w:tcPr>
          <w:p>
            <w:r>
              <w:t xml:space="preserve">6 weeks</w:t>
            </w:r>
          </w:p>
        </w:tc>
        <w:tc>
          <w:tcPr>
            <w:tcW w:type="dxa" w:w="2400"/>
            <w:tcBorders>
              <w:top w:val="single" w:color="CCCCCC" w:sz="1"/>
              <w:left w:val="single" w:color="CCCCCC" w:sz="1"/>
              <w:bottom w:val="single" w:color="CCCCCC" w:sz="1"/>
              <w:right w:val="single" w:color="CCCCCC" w:sz="1"/>
            </w:tcBorders>
          </w:tcPr>
          <w:p>
            <w:r>
              <w:t xml:space="preserve">Jun 2026</w:t>
            </w:r>
          </w:p>
        </w:tc>
        <w:tc>
          <w:tcPr>
            <w:tcW w:type="dxa" w:w="2160"/>
            <w:tcBorders>
              <w:top w:val="single" w:color="CCCCCC" w:sz="1"/>
              <w:left w:val="single" w:color="CCCCCC" w:sz="1"/>
              <w:bottom w:val="single" w:color="CCCCCC" w:sz="1"/>
              <w:right w:val="single" w:color="CCCCCC" w:sz="1"/>
            </w:tcBorders>
          </w:tcPr>
          <w:p>
            <w:r>
              <w:t xml:space="preserve">Full Coverage</w:t>
            </w:r>
          </w:p>
        </w:tc>
      </w:tr>
      <w:tr>
        <w:tc>
          <w:tcPr>
            <w:tcW w:type="dxa" w:w="2400"/>
            <w:tcBorders>
              <w:top w:val="single" w:color="CCCCCC" w:sz="1"/>
              <w:left w:val="single" w:color="CCCCCC" w:sz="1"/>
              <w:bottom w:val="single" w:color="CCCCCC" w:sz="1"/>
              <w:right w:val="single" w:color="CCCCCC" w:sz="1"/>
            </w:tcBorders>
            <w:shd w:fill="F8F9FA" w:val="clear"/>
          </w:tcPr>
          <w:p>
            <w:r>
              <w:t xml:space="preserve">Phase 4: Advanced</w:t>
            </w:r>
          </w:p>
        </w:tc>
        <w:tc>
          <w:tcPr>
            <w:tcW w:type="dxa" w:w="2400"/>
            <w:tcBorders>
              <w:top w:val="single" w:color="CCCCCC" w:sz="1"/>
              <w:left w:val="single" w:color="CCCCCC" w:sz="1"/>
              <w:bottom w:val="single" w:color="CCCCCC" w:sz="1"/>
              <w:right w:val="single" w:color="CCCCCC" w:sz="1"/>
            </w:tcBorders>
            <w:shd w:fill="F8F9FA" w:val="clear"/>
          </w:tcPr>
          <w:p>
            <w:r>
              <w:t xml:space="preserve">6 weeks</w:t>
            </w:r>
          </w:p>
        </w:tc>
        <w:tc>
          <w:tcPr>
            <w:tcW w:type="dxa" w:w="2400"/>
            <w:tcBorders>
              <w:top w:val="single" w:color="CCCCCC" w:sz="1"/>
              <w:left w:val="single" w:color="CCCCCC" w:sz="1"/>
              <w:bottom w:val="single" w:color="CCCCCC" w:sz="1"/>
              <w:right w:val="single" w:color="CCCCCC" w:sz="1"/>
            </w:tcBorders>
            <w:shd w:fill="F8F9FA" w:val="clear"/>
          </w:tcPr>
          <w:p>
            <w:r>
              <w:t xml:space="preserve">Aug 2026</w:t>
            </w:r>
          </w:p>
        </w:tc>
        <w:tc>
          <w:tcPr>
            <w:tcW w:type="dxa" w:w="2160"/>
            <w:tcBorders>
              <w:top w:val="single" w:color="CCCCCC" w:sz="1"/>
              <w:left w:val="single" w:color="CCCCCC" w:sz="1"/>
              <w:bottom w:val="single" w:color="CCCCCC" w:sz="1"/>
              <w:right w:val="single" w:color="CCCCCC" w:sz="1"/>
            </w:tcBorders>
            <w:shd w:fill="F8F9FA" w:val="clear"/>
          </w:tcPr>
          <w:p>
            <w:r>
              <w:t xml:space="preserve">Enterprise Scale</w:t>
            </w:r>
          </w:p>
        </w:tc>
      </w:tr>
    </w:tbl>
    <w:p>
      <w:r>
        <w:br w:type="page"/>
      </w:r>
    </w:p>
    <w:p>
      <w:pPr>
        <w:pStyle w:val="Heading1"/>
      </w:pPr>
      <w:r>
        <w:t xml:space="preserve">7. Security, Privacy &amp; Governance</w:t>
      </w:r>
    </w:p>
    <w:p>
      <w:pPr>
        <w:pStyle w:val="Heading2"/>
      </w:pPr>
      <w:r>
        <w:t xml:space="preserve">7.1 Security Architecture</w:t>
      </w:r>
    </w:p>
    <w:p>
      <w:pPr>
        <w:spacing w:after="200"/>
      </w:pPr>
      <w:r>
        <w:t xml:space="preserve">The solution implements defense-in-depth security aligned with UK Cyber Essentials Plus and housing sector requirements:</w:t>
      </w:r>
    </w:p>
    <w:p>
      <w:pPr>
        <w:pStyle w:val="ListParagraph"/>
        <w:numPr>
          <w:ilvl w:val="0"/>
          <w:numId w:val="2"/>
        </w:numPr>
      </w:pPr>
      <w:r>
        <w:rPr>
          <w:b/>
          <w:bCs/>
        </w:rPr>
        <w:t xml:space="preserve">Identity &amp; Access: </w:t>
      </w:r>
      <w:r>
        <w:t xml:space="preserve">Azure AD integration with conditional access, MFA enforcement, and role-based access control (RBAC)</w:t>
      </w:r>
    </w:p>
    <w:p>
      <w:pPr>
        <w:pStyle w:val="ListParagraph"/>
        <w:numPr>
          <w:ilvl w:val="0"/>
          <w:numId w:val="2"/>
        </w:numPr>
      </w:pPr>
      <w:r>
        <w:rPr>
          <w:b/>
          <w:bCs/>
        </w:rPr>
        <w:t xml:space="preserve">Network Security: </w:t>
      </w:r>
      <w:r>
        <w:t xml:space="preserve">Private endpoints for all Azure services, Web Application Firewall on API gateway, DDoS protection</w:t>
      </w:r>
    </w:p>
    <w:p>
      <w:pPr>
        <w:pStyle w:val="ListParagraph"/>
        <w:numPr>
          <w:ilvl w:val="0"/>
          <w:numId w:val="2"/>
        </w:numPr>
      </w:pPr>
      <w:r>
        <w:rPr>
          <w:b/>
          <w:bCs/>
        </w:rPr>
        <w:t xml:space="preserve">Data Protection: </w:t>
      </w:r>
      <w:r>
        <w:t xml:space="preserve">Encryption at rest (AES-256), encryption in transit (TLS 1.3), customer-managed keys option</w:t>
      </w:r>
    </w:p>
    <w:p>
      <w:pPr>
        <w:pStyle w:val="ListParagraph"/>
        <w:numPr>
          <w:ilvl w:val="0"/>
          <w:numId w:val="2"/>
        </w:numPr>
      </w:pPr>
      <w:r>
        <w:rPr>
          <w:b/>
          <w:bCs/>
        </w:rPr>
        <w:t xml:space="preserve">Audit Trail: </w:t>
      </w:r>
      <w:r>
        <w:t xml:space="preserve">Immutable audit logging of all document processing, compliance decisions, and user actions</w:t>
      </w:r>
    </w:p>
    <w:p>
      <w:pPr>
        <w:pStyle w:val="ListParagraph"/>
        <w:numPr>
          <w:ilvl w:val="0"/>
          <w:numId w:val="2"/>
        </w:numPr>
      </w:pPr>
      <w:r>
        <w:rPr>
          <w:b/>
          <w:bCs/>
        </w:rPr>
        <w:t xml:space="preserve">AI Security: </w:t>
      </w:r>
      <w:r>
        <w:t xml:space="preserve">Prompt injection protection, output filtering, no training on customer data without consent</w:t>
      </w:r>
    </w:p>
    <w:p>
      <w:pPr>
        <w:pStyle w:val="Heading2"/>
      </w:pPr>
      <w:r>
        <w:t xml:space="preserve">7.2 GDPR &amp; Data Governance</w:t>
      </w:r>
    </w:p>
    <w:p>
      <w:pPr>
        <w:spacing w:after="200"/>
      </w:pPr>
      <w:r>
        <w:t xml:space="preserve">Compliance with UK GDPR and data protection requirements:</w:t>
      </w:r>
    </w:p>
    <w:p>
      <w:pPr>
        <w:pStyle w:val="ListParagraph"/>
        <w:numPr>
          <w:ilvl w:val="0"/>
          <w:numId w:val="2"/>
        </w:numPr>
      </w:pPr>
      <w:r>
        <w:rPr>
          <w:b/>
          <w:bCs/>
        </w:rPr>
        <w:t xml:space="preserve">Data Residency: </w:t>
      </w:r>
      <w:r>
        <w:t xml:space="preserve">All data stored in UK Azure regions (UK South, UK West)</w:t>
      </w:r>
    </w:p>
    <w:p>
      <w:pPr>
        <w:pStyle w:val="ListParagraph"/>
        <w:numPr>
          <w:ilvl w:val="0"/>
          <w:numId w:val="2"/>
        </w:numPr>
      </w:pPr>
      <w:r>
        <w:rPr>
          <w:b/>
          <w:bCs/>
        </w:rPr>
        <w:t xml:space="preserve">Purpose Limitation: </w:t>
      </w:r>
      <w:r>
        <w:t xml:space="preserve">Personal data processed only for compliance management purposes</w:t>
      </w:r>
    </w:p>
    <w:p>
      <w:pPr>
        <w:pStyle w:val="ListParagraph"/>
        <w:numPr>
          <w:ilvl w:val="0"/>
          <w:numId w:val="2"/>
        </w:numPr>
      </w:pPr>
      <w:r>
        <w:rPr>
          <w:b/>
          <w:bCs/>
        </w:rPr>
        <w:t xml:space="preserve">Retention Policies: </w:t>
      </w:r>
      <w:r>
        <w:t xml:space="preserve">Configurable retention aligned with regulatory requirements (typically 6 years for compliance records)</w:t>
      </w:r>
    </w:p>
    <w:p>
      <w:pPr>
        <w:pStyle w:val="ListParagraph"/>
        <w:numPr>
          <w:ilvl w:val="0"/>
          <w:numId w:val="2"/>
        </w:numPr>
      </w:pPr>
      <w:r>
        <w:rPr>
          <w:b/>
          <w:bCs/>
        </w:rPr>
        <w:t xml:space="preserve">Subject Rights: </w:t>
      </w:r>
      <w:r>
        <w:t xml:space="preserve">API support for SAR exports, right to erasure (with legal hold exceptions)</w:t>
      </w:r>
    </w:p>
    <w:p>
      <w:pPr>
        <w:pStyle w:val="ListParagraph"/>
        <w:numPr>
          <w:ilvl w:val="0"/>
          <w:numId w:val="2"/>
        </w:numPr>
      </w:pPr>
      <w:r>
        <w:rPr>
          <w:b/>
          <w:bCs/>
        </w:rPr>
        <w:t xml:space="preserve">Data Minimization: </w:t>
      </w:r>
      <w:r>
        <w:t xml:space="preserve">Only compliance-relevant fields extracted and stored; full certificates retained separately</w:t>
      </w:r>
    </w:p>
    <w:p>
      <w:pPr>
        <w:pStyle w:val="Heading2"/>
      </w:pPr>
      <w:r>
        <w:t xml:space="preserve">7.3 Regulatory Inspection Readiness</w:t>
      </w:r>
    </w:p>
    <w:p>
      <w:pPr>
        <w:spacing w:after="200"/>
      </w:pPr>
      <w:r>
        <w:t xml:space="preserve">The system is designed for RSH inspection readiness:</w:t>
      </w:r>
    </w:p>
    <w:p>
      <w:pPr>
        <w:pStyle w:val="ListParagraph"/>
        <w:numPr>
          <w:ilvl w:val="0"/>
          <w:numId w:val="2"/>
        </w:numPr>
      </w:pPr>
      <w:r>
        <w:rPr>
          <w:b/>
          <w:bCs/>
        </w:rPr>
        <w:t xml:space="preserve">Documentary Evidence: </w:t>
      </w:r>
      <w:r>
        <w:t xml:space="preserve">Complete audit trail linking certificates to compliance records, actions taken, and timescale adherence</w:t>
      </w:r>
    </w:p>
    <w:p>
      <w:pPr>
        <w:pStyle w:val="ListParagraph"/>
        <w:numPr>
          <w:ilvl w:val="0"/>
          <w:numId w:val="2"/>
        </w:numPr>
      </w:pPr>
      <w:r>
        <w:rPr>
          <w:b/>
          <w:bCs/>
        </w:rPr>
        <w:t xml:space="preserve">TSM Data Export: </w:t>
      </w:r>
      <w:r>
        <w:t xml:space="preserve">Automated generation of Tenant Satisfaction Measures data from compliance records</w:t>
      </w:r>
    </w:p>
    <w:p>
      <w:pPr>
        <w:pStyle w:val="ListParagraph"/>
        <w:numPr>
          <w:ilvl w:val="0"/>
          <w:numId w:val="2"/>
        </w:numPr>
      </w:pPr>
      <w:r>
        <w:rPr>
          <w:b/>
          <w:bCs/>
        </w:rPr>
        <w:t xml:space="preserve">Building Safety Case: </w:t>
      </w:r>
      <w:r>
        <w:t xml:space="preserve">Support for Golden Thread requirements with structured compliance documentation for HRBs</w:t>
      </w:r>
    </w:p>
    <w:p>
      <w:pPr>
        <w:pStyle w:val="ListParagraph"/>
        <w:numPr>
          <w:ilvl w:val="0"/>
          <w:numId w:val="2"/>
        </w:numPr>
      </w:pPr>
      <w:r>
        <w:rPr>
          <w:b/>
          <w:bCs/>
        </w:rPr>
        <w:t xml:space="preserve">Exception Reports: </w:t>
      </w:r>
      <w:r>
        <w:t xml:space="preserve">Instant visibility into compliance gaps, overdue items, and risk areas</w:t>
      </w:r>
    </w:p>
    <w:p>
      <w:r>
        <w:br w:type="page"/>
      </w:r>
    </w:p>
    <w:p>
      <w:pPr>
        <w:pStyle w:val="Heading1"/>
      </w:pPr>
      <w:r>
        <w:t xml:space="preserve">8. Future-Proofing Strategy</w:t>
      </w:r>
    </w:p>
    <w:p>
      <w:pPr>
        <w:pStyle w:val="Heading2"/>
      </w:pPr>
      <w:r>
        <w:t xml:space="preserve">8.1 Regulatory Evolution Readiness</w:t>
      </w:r>
    </w:p>
    <w:p>
      <w:pPr>
        <w:spacing w:after="200"/>
      </w:pPr>
      <w:r>
        <w:t xml:space="preserve">The architecture is designed to adapt to the evolving regulatory landscape:</w:t>
      </w:r>
    </w:p>
    <w:p>
      <w:pPr>
        <w:pStyle w:val="ListParagraph"/>
        <w:numPr>
          <w:ilvl w:val="0"/>
          <w:numId w:val="2"/>
        </w:numPr>
      </w:pPr>
      <w:r>
        <w:rPr>
          <w:b/>
          <w:bCs/>
        </w:rPr>
        <w:t xml:space="preserve">Externalized Rules Engine: </w:t>
      </w:r>
      <w:r>
        <w:t xml:space="preserve">New regulations added through configuration, not code changes</w:t>
      </w:r>
    </w:p>
    <w:p>
      <w:pPr>
        <w:pStyle w:val="ListParagraph"/>
        <w:numPr>
          <w:ilvl w:val="0"/>
          <w:numId w:val="2"/>
        </w:numPr>
      </w:pPr>
      <w:r>
        <w:rPr>
          <w:b/>
          <w:bCs/>
        </w:rPr>
        <w:t xml:space="preserve">Versioned Compliance Profiles: </w:t>
      </w:r>
      <w:r>
        <w:t xml:space="preserve">Support for transitional periods when regulations change</w:t>
      </w:r>
    </w:p>
    <w:p>
      <w:pPr>
        <w:pStyle w:val="ListParagraph"/>
        <w:numPr>
          <w:ilvl w:val="0"/>
          <w:numId w:val="2"/>
        </w:numPr>
      </w:pPr>
      <w:r>
        <w:rPr>
          <w:b/>
          <w:bCs/>
        </w:rPr>
        <w:t xml:space="preserve">New Certificate Types: </w:t>
      </w:r>
      <w:r>
        <w:t xml:space="preserve">LLM-based extraction adapts to new certificate formats without retraining</w:t>
      </w:r>
    </w:p>
    <w:p>
      <w:pPr>
        <w:pStyle w:val="ListParagraph"/>
        <w:numPr>
          <w:ilvl w:val="0"/>
          <w:numId w:val="2"/>
        </w:numPr>
      </w:pPr>
      <w:r>
        <w:rPr>
          <w:b/>
          <w:bCs/>
        </w:rPr>
        <w:t xml:space="preserve">Private Sector Extension: </w:t>
      </w:r>
      <w:r>
        <w:t xml:space="preserve">Architecture supports planned extension of Awaab's Law to PRS via Renters' Rights Bill</w:t>
      </w:r>
    </w:p>
    <w:p>
      <w:pPr>
        <w:pStyle w:val="Heading2"/>
      </w:pPr>
      <w:r>
        <w:t xml:space="preserve">8.2 AI Technology Evolution</w:t>
      </w:r>
    </w:p>
    <w:p>
      <w:pPr>
        <w:spacing w:after="200"/>
      </w:pPr>
      <w:r>
        <w:t xml:space="preserve">The multi-model architecture ensures adaptability to rapid AI advancement:</w:t>
      </w:r>
    </w:p>
    <w:p>
      <w:pPr>
        <w:pStyle w:val="ListParagraph"/>
        <w:numPr>
          <w:ilvl w:val="0"/>
          <w:numId w:val="2"/>
        </w:numPr>
      </w:pPr>
      <w:r>
        <w:rPr>
          <w:b/>
          <w:bCs/>
        </w:rPr>
        <w:t xml:space="preserve">Model Abstraction Layer: </w:t>
      </w:r>
      <w:r>
        <w:t xml:space="preserve">LLM calls abstracted through unified interface; models swappable without application changes</w:t>
      </w:r>
    </w:p>
    <w:p>
      <w:pPr>
        <w:pStyle w:val="ListParagraph"/>
        <w:numPr>
          <w:ilvl w:val="0"/>
          <w:numId w:val="2"/>
        </w:numPr>
      </w:pPr>
      <w:r>
        <w:rPr>
          <w:b/>
          <w:bCs/>
        </w:rPr>
        <w:t xml:space="preserve">Local Model Support: </w:t>
      </w:r>
      <w:r>
        <w:t xml:space="preserve">Architecture supports future deployment of open-source models (Llama, Mistral) for cost optimization</w:t>
      </w:r>
    </w:p>
    <w:p>
      <w:pPr>
        <w:pStyle w:val="ListParagraph"/>
        <w:numPr>
          <w:ilvl w:val="0"/>
          <w:numId w:val="2"/>
        </w:numPr>
      </w:pPr>
      <w:r>
        <w:rPr>
          <w:b/>
          <w:bCs/>
        </w:rPr>
        <w:t xml:space="preserve">Fine-Tuning Pipeline: </w:t>
      </w:r>
      <w:r>
        <w:t xml:space="preserve">Infrastructure for continuous model improvement using validated extraction results</w:t>
      </w:r>
    </w:p>
    <w:p>
      <w:pPr>
        <w:pStyle w:val="ListParagraph"/>
        <w:numPr>
          <w:ilvl w:val="0"/>
          <w:numId w:val="2"/>
        </w:numPr>
      </w:pPr>
      <w:r>
        <w:rPr>
          <w:b/>
          <w:bCs/>
        </w:rPr>
        <w:t xml:space="preserve">Agentic Expansion: </w:t>
      </w:r>
      <w:r>
        <w:t xml:space="preserve">Framework ready for more sophisticated multi-agent workflows as capabilities mature</w:t>
      </w:r>
    </w:p>
    <w:p>
      <w:pPr>
        <w:pStyle w:val="Heading2"/>
      </w:pPr>
      <w:r>
        <w:t xml:space="preserve">8.3 Integration Extensibility</w:t>
      </w:r>
    </w:p>
    <w:p>
      <w:pPr>
        <w:spacing w:after="200"/>
      </w:pPr>
      <w:r>
        <w:t xml:space="preserve">The integration layer supports future expansion:</w:t>
      </w:r>
    </w:p>
    <w:p>
      <w:pPr>
        <w:pStyle w:val="ListParagraph"/>
        <w:numPr>
          <w:ilvl w:val="0"/>
          <w:numId w:val="2"/>
        </w:numPr>
      </w:pPr>
      <w:r>
        <w:rPr>
          <w:b/>
          <w:bCs/>
        </w:rPr>
        <w:t xml:space="preserve">Connector Framework: </w:t>
      </w:r>
      <w:r>
        <w:t xml:space="preserve">Standardized connector architecture for adding new HMS platforms</w:t>
      </w:r>
    </w:p>
    <w:p>
      <w:pPr>
        <w:pStyle w:val="ListParagraph"/>
        <w:numPr>
          <w:ilvl w:val="0"/>
          <w:numId w:val="2"/>
        </w:numPr>
      </w:pPr>
      <w:r>
        <w:rPr>
          <w:b/>
          <w:bCs/>
        </w:rPr>
        <w:t xml:space="preserve">Event-Driven Architecture: </w:t>
      </w:r>
      <w:r>
        <w:t xml:space="preserve">Webhook support for real-time integration with IoT sensors, smart home devices</w:t>
      </w:r>
    </w:p>
    <w:p>
      <w:pPr>
        <w:pStyle w:val="ListParagraph"/>
        <w:numPr>
          <w:ilvl w:val="0"/>
          <w:numId w:val="2"/>
        </w:numPr>
      </w:pPr>
      <w:r>
        <w:rPr>
          <w:b/>
          <w:bCs/>
        </w:rPr>
        <w:t xml:space="preserve">API Versioning: </w:t>
      </w:r>
      <w:r>
        <w:t xml:space="preserve">Backward-compatible API evolution without breaking existing integrations</w:t>
      </w:r>
    </w:p>
    <w:p>
      <w:pPr>
        <w:pStyle w:val="ListParagraph"/>
        <w:numPr>
          <w:ilvl w:val="0"/>
          <w:numId w:val="2"/>
        </w:numPr>
      </w:pPr>
      <w:r>
        <w:rPr>
          <w:b/>
          <w:bCs/>
        </w:rPr>
        <w:t xml:space="preserve">Data Lakehouse Ready: </w:t>
      </w:r>
      <w:r>
        <w:t xml:space="preserve">Structured data export supporting integration with Microsoft Fabric or Databricks analytics platforms</w:t>
      </w:r>
    </w:p>
    <w:p>
      <w:r>
        <w:br w:type="page"/>
      </w:r>
    </w:p>
    <w:p>
      <w:pPr>
        <w:pStyle w:val="Heading1"/>
      </w:pPr>
      <w:r>
        <w:t xml:space="preserve">9. Investment &amp; Value Realization</w:t>
      </w:r>
    </w:p>
    <w:p>
      <w:pPr>
        <w:pStyle w:val="Heading2"/>
      </w:pPr>
      <w:r>
        <w:t xml:space="preserve">9.1 Indicative Pricing Model</w:t>
      </w:r>
    </w:p>
    <w:p>
      <w:pPr>
        <w:spacing w:after="200"/>
      </w:pPr>
      <w:r>
        <w:t xml:space="preserve">The solution pricing is structured to align costs with value delivered: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Component</w:t>
            </w:r>
          </w:p>
        </w:tc>
        <w:tc>
          <w:tcPr>
            <w:tcW w:type="dxa" w:w="320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Pricing Basis</w:t>
            </w:r>
          </w:p>
        </w:tc>
        <w:tc>
          <w:tcPr>
            <w:tcW w:type="dxa" w:w="2960"/>
            <w:tcBorders>
              <w:top w:val="single" w:color="CCCCCC" w:sz="1"/>
              <w:left w:val="single" w:color="CCCCCC" w:sz="1"/>
              <w:bottom w:val="single" w:color="CCCCCC" w:sz="1"/>
              <w:right w:val="single" w:color="CCCCCC" w:sz="1"/>
            </w:tcBorders>
            <w:shd w:fill="1B4F72" w:val="clear"/>
          </w:tcPr>
          <w:p>
            <w:pPr>
              <w:jc w:val="center"/>
            </w:pPr>
            <w:r>
              <w:rPr>
                <w:b/>
                <w:bCs/>
                <w:color w:val="FFFFFF"/>
              </w:rPr>
              <w:t xml:space="preserve">Indicative Range</w:t>
            </w:r>
          </w:p>
        </w:tc>
      </w:tr>
      <w:tr>
        <w:tc>
          <w:tcPr>
            <w:tcW w:type="dxa" w:w="3200"/>
            <w:tcBorders>
              <w:top w:val="single" w:color="CCCCCC" w:sz="1"/>
              <w:left w:val="single" w:color="CCCCCC" w:sz="1"/>
              <w:bottom w:val="single" w:color="CCCCCC" w:sz="1"/>
              <w:right w:val="single" w:color="CCCCCC" w:sz="1"/>
            </w:tcBorders>
          </w:tcPr>
          <w:p>
            <w:r>
              <w:t xml:space="preserve">Platform License</w:t>
            </w:r>
          </w:p>
        </w:tc>
        <w:tc>
          <w:tcPr>
            <w:tcW w:type="dxa" w:w="3200"/>
            <w:tcBorders>
              <w:top w:val="single" w:color="CCCCCC" w:sz="1"/>
              <w:left w:val="single" w:color="CCCCCC" w:sz="1"/>
              <w:bottom w:val="single" w:color="CCCCCC" w:sz="1"/>
              <w:right w:val="single" w:color="CCCCCC" w:sz="1"/>
            </w:tcBorders>
          </w:tcPr>
          <w:p>
            <w:r>
              <w:t xml:space="preserve">Per property per month</w:t>
            </w:r>
          </w:p>
        </w:tc>
        <w:tc>
          <w:tcPr>
            <w:tcW w:type="dxa" w:w="2960"/>
            <w:tcBorders>
              <w:top w:val="single" w:color="CCCCCC" w:sz="1"/>
              <w:left w:val="single" w:color="CCCCCC" w:sz="1"/>
              <w:bottom w:val="single" w:color="CCCCCC" w:sz="1"/>
              <w:right w:val="single" w:color="CCCCCC" w:sz="1"/>
            </w:tcBorders>
          </w:tcPr>
          <w:p>
            <w:r>
              <w:t xml:space="preserve">£0.50-1.50/property/month</w:t>
            </w:r>
          </w:p>
        </w:tc>
      </w:tr>
      <w:tr>
        <w:tc>
          <w:tcPr>
            <w:tcW w:type="dxa" w:w="3200"/>
            <w:tcBorders>
              <w:top w:val="single" w:color="CCCCCC" w:sz="1"/>
              <w:left w:val="single" w:color="CCCCCC" w:sz="1"/>
              <w:bottom w:val="single" w:color="CCCCCC" w:sz="1"/>
              <w:right w:val="single" w:color="CCCCCC" w:sz="1"/>
            </w:tcBorders>
            <w:shd w:fill="F8F9FA" w:val="clear"/>
          </w:tcPr>
          <w:p>
            <w:r>
              <w:t xml:space="preserve">Certificate Processing</w:t>
            </w:r>
          </w:p>
        </w:tc>
        <w:tc>
          <w:tcPr>
            <w:tcW w:type="dxa" w:w="3200"/>
            <w:tcBorders>
              <w:top w:val="single" w:color="CCCCCC" w:sz="1"/>
              <w:left w:val="single" w:color="CCCCCC" w:sz="1"/>
              <w:bottom w:val="single" w:color="CCCCCC" w:sz="1"/>
              <w:right w:val="single" w:color="CCCCCC" w:sz="1"/>
            </w:tcBorders>
            <w:shd w:fill="F8F9FA" w:val="clear"/>
          </w:tcPr>
          <w:p>
            <w:r>
              <w:t xml:space="preserve">Per certificate processed</w:t>
            </w:r>
          </w:p>
        </w:tc>
        <w:tc>
          <w:tcPr>
            <w:tcW w:type="dxa" w:w="2960"/>
            <w:tcBorders>
              <w:top w:val="single" w:color="CCCCCC" w:sz="1"/>
              <w:left w:val="single" w:color="CCCCCC" w:sz="1"/>
              <w:bottom w:val="single" w:color="CCCCCC" w:sz="1"/>
              <w:right w:val="single" w:color="CCCCCC" w:sz="1"/>
            </w:tcBorders>
            <w:shd w:fill="F8F9FA" w:val="clear"/>
          </w:tcPr>
          <w:p>
            <w:r>
              <w:t xml:space="preserve">£0.15-0.40/certificate</w:t>
            </w:r>
          </w:p>
        </w:tc>
      </w:tr>
      <w:tr>
        <w:tc>
          <w:tcPr>
            <w:tcW w:type="dxa" w:w="3200"/>
            <w:tcBorders>
              <w:top w:val="single" w:color="CCCCCC" w:sz="1"/>
              <w:left w:val="single" w:color="CCCCCC" w:sz="1"/>
              <w:bottom w:val="single" w:color="CCCCCC" w:sz="1"/>
              <w:right w:val="single" w:color="CCCCCC" w:sz="1"/>
            </w:tcBorders>
          </w:tcPr>
          <w:p>
            <w:r>
              <w:t xml:space="preserve">Implementation</w:t>
            </w:r>
          </w:p>
        </w:tc>
        <w:tc>
          <w:tcPr>
            <w:tcW w:type="dxa" w:w="3200"/>
            <w:tcBorders>
              <w:top w:val="single" w:color="CCCCCC" w:sz="1"/>
              <w:left w:val="single" w:color="CCCCCC" w:sz="1"/>
              <w:bottom w:val="single" w:color="CCCCCC" w:sz="1"/>
              <w:right w:val="single" w:color="CCCCCC" w:sz="1"/>
            </w:tcBorders>
          </w:tcPr>
          <w:p>
            <w:r>
              <w:t xml:space="preserve">Fixed project phases</w:t>
            </w:r>
          </w:p>
        </w:tc>
        <w:tc>
          <w:tcPr>
            <w:tcW w:type="dxa" w:w="2960"/>
            <w:tcBorders>
              <w:top w:val="single" w:color="CCCCCC" w:sz="1"/>
              <w:left w:val="single" w:color="CCCCCC" w:sz="1"/>
              <w:bottom w:val="single" w:color="CCCCCC" w:sz="1"/>
              <w:right w:val="single" w:color="CCCCCC" w:sz="1"/>
            </w:tcBorders>
          </w:tcPr>
          <w:p>
            <w:r>
              <w:t xml:space="preserve">£75K-150K (size dependent)</w:t>
            </w:r>
          </w:p>
        </w:tc>
      </w:tr>
      <w:tr>
        <w:tc>
          <w:tcPr>
            <w:tcW w:type="dxa" w:w="3200"/>
            <w:tcBorders>
              <w:top w:val="single" w:color="CCCCCC" w:sz="1"/>
              <w:left w:val="single" w:color="CCCCCC" w:sz="1"/>
              <w:bottom w:val="single" w:color="CCCCCC" w:sz="1"/>
              <w:right w:val="single" w:color="CCCCCC" w:sz="1"/>
            </w:tcBorders>
            <w:shd w:fill="F8F9FA" w:val="clear"/>
          </w:tcPr>
          <w:p>
            <w:r>
              <w:t xml:space="preserve">Additional HMS Connectors</w:t>
            </w:r>
          </w:p>
        </w:tc>
        <w:tc>
          <w:tcPr>
            <w:tcW w:type="dxa" w:w="3200"/>
            <w:tcBorders>
              <w:top w:val="single" w:color="CCCCCC" w:sz="1"/>
              <w:left w:val="single" w:color="CCCCCC" w:sz="1"/>
              <w:bottom w:val="single" w:color="CCCCCC" w:sz="1"/>
              <w:right w:val="single" w:color="CCCCCC" w:sz="1"/>
            </w:tcBorders>
            <w:shd w:fill="F8F9FA" w:val="clear"/>
          </w:tcPr>
          <w:p>
            <w:r>
              <w:t xml:space="preserve">Per connector development</w:t>
            </w:r>
          </w:p>
        </w:tc>
        <w:tc>
          <w:tcPr>
            <w:tcW w:type="dxa" w:w="2960"/>
            <w:tcBorders>
              <w:top w:val="single" w:color="CCCCCC" w:sz="1"/>
              <w:left w:val="single" w:color="CCCCCC" w:sz="1"/>
              <w:bottom w:val="single" w:color="CCCCCC" w:sz="1"/>
              <w:right w:val="single" w:color="CCCCCC" w:sz="1"/>
            </w:tcBorders>
            <w:shd w:fill="F8F9FA" w:val="clear"/>
          </w:tcPr>
          <w:p>
            <w:r>
              <w:t xml:space="preserve">£15K-30K per connector</w:t>
            </w:r>
          </w:p>
        </w:tc>
      </w:tr>
    </w:tbl>
    <w:p>
      <w:pPr>
        <w:pStyle w:val="Heading2"/>
      </w:pPr>
      <w:r>
        <w:t xml:space="preserve">9.2 Value Realization</w:t>
      </w:r>
    </w:p>
    <w:p>
      <w:pPr>
        <w:spacing w:after="200"/>
      </w:pPr>
      <w:r>
        <w:t xml:space="preserve">Organizations can expect measurable value across multiple dimensions:</w:t>
      </w:r>
    </w:p>
    <w:p>
      <w:pPr>
        <w:pStyle w:val="ListParagraph"/>
        <w:numPr>
          <w:ilvl w:val="0"/>
          <w:numId w:val="2"/>
        </w:numPr>
      </w:pPr>
      <w:r>
        <w:rPr>
          <w:b/>
          <w:bCs/>
        </w:rPr>
        <w:t xml:space="preserve">Efficiency Gains: </w:t>
      </w:r>
      <w:r>
        <w:t xml:space="preserve">70-85% reduction in manual certificate processing time</w:t>
      </w:r>
    </w:p>
    <w:p>
      <w:pPr>
        <w:pStyle w:val="ListParagraph"/>
        <w:numPr>
          <w:ilvl w:val="0"/>
          <w:numId w:val="2"/>
        </w:numPr>
      </w:pPr>
      <w:r>
        <w:rPr>
          <w:b/>
          <w:bCs/>
        </w:rPr>
        <w:t xml:space="preserve">Regulatory Risk Reduction: </w:t>
      </w:r>
      <w:r>
        <w:t xml:space="preserve">Automated timescale enforcement eliminates compliance breaches</w:t>
      </w:r>
    </w:p>
    <w:p>
      <w:pPr>
        <w:pStyle w:val="ListParagraph"/>
        <w:numPr>
          <w:ilvl w:val="0"/>
          <w:numId w:val="2"/>
        </w:numPr>
      </w:pPr>
      <w:r>
        <w:rPr>
          <w:b/>
          <w:bCs/>
        </w:rPr>
        <w:t xml:space="preserve">Resource Reallocation: </w:t>
      </w:r>
      <w:r>
        <w:t xml:space="preserve">Compliance team capacity shifted from data entry to value-added analysis</w:t>
      </w:r>
    </w:p>
    <w:p>
      <w:pPr>
        <w:pStyle w:val="ListParagraph"/>
        <w:numPr>
          <w:ilvl w:val="0"/>
          <w:numId w:val="2"/>
        </w:numPr>
      </w:pPr>
      <w:r>
        <w:rPr>
          <w:b/>
          <w:bCs/>
        </w:rPr>
        <w:t xml:space="preserve">Inspection Readiness: </w:t>
      </w:r>
      <w:r>
        <w:t xml:space="preserve">Documentary evidence instantly available for RSH inspections</w:t>
      </w:r>
    </w:p>
    <w:p>
      <w:pPr>
        <w:pStyle w:val="ListParagraph"/>
        <w:numPr>
          <w:ilvl w:val="0"/>
          <w:numId w:val="2"/>
        </w:numPr>
      </w:pPr>
      <w:r>
        <w:rPr>
          <w:b/>
          <w:bCs/>
        </w:rPr>
        <w:t xml:space="preserve">Tenant Satisfaction: </w:t>
      </w:r>
      <w:r>
        <w:t xml:space="preserve">Faster hazard response contributing to improved TSM scores</w:t>
      </w:r>
    </w:p>
    <w:p>
      <w:r>
        <w:br w:type="page"/>
      </w:r>
    </w:p>
    <w:p>
      <w:pPr>
        <w:pStyle w:val="Heading1"/>
      </w:pPr>
      <w:r>
        <w:t xml:space="preserve">10. Conclusion &amp; Recommendations</w:t>
      </w:r>
    </w:p>
    <w:p>
      <w:pPr>
        <w:spacing w:after="200"/>
      </w:pPr>
      <w:r>
        <w:t xml:space="preserve">ComplianceAI™ represents a transformative approach to compliance certificate management for UK social housing organizations. By combining cutting-edge multimodal AI with deep housing sector domain expertise, the solution addresses fundamental limitations of current approaches while preparing organizations for the evolving regulatory landscape.</w:t>
      </w:r>
    </w:p>
    <w:p>
      <w:pPr>
        <w:pStyle w:val="Heading2"/>
      </w:pPr>
      <w:r>
        <w:t xml:space="preserve">10.1 Key Differentiators</w:t>
      </w:r>
    </w:p>
    <w:p>
      <w:pPr>
        <w:pStyle w:val="ListParagraph"/>
        <w:numPr>
          <w:ilvl w:val="0"/>
          <w:numId w:val="10"/>
        </w:numPr>
      </w:pPr>
      <w:r>
        <w:rPr>
          <w:b/>
          <w:bCs/>
        </w:rPr>
        <w:t xml:space="preserve">Format Agnostic: </w:t>
      </w:r>
      <w:r>
        <w:t xml:space="preserve">AI understands certificate content regardless of contractor format variations</w:t>
      </w:r>
    </w:p>
    <w:p>
      <w:pPr>
        <w:pStyle w:val="ListParagraph"/>
        <w:numPr>
          <w:ilvl w:val="0"/>
          <w:numId w:val="10"/>
        </w:numPr>
      </w:pPr>
      <w:r>
        <w:rPr>
          <w:b/>
          <w:bCs/>
        </w:rPr>
        <w:t xml:space="preserve">Regulatory Built-In: </w:t>
      </w:r>
      <w:r>
        <w:t xml:space="preserve">Awaab's Law, Building Safety Act, and RSH standards embedded in rules engine</w:t>
      </w:r>
    </w:p>
    <w:p>
      <w:pPr>
        <w:pStyle w:val="ListParagraph"/>
        <w:numPr>
          <w:ilvl w:val="0"/>
          <w:numId w:val="10"/>
        </w:numPr>
      </w:pPr>
      <w:r>
        <w:rPr>
          <w:b/>
          <w:bCs/>
        </w:rPr>
        <w:t xml:space="preserve">Integration Flexibility: </w:t>
      </w:r>
      <w:r>
        <w:t xml:space="preserve">Works with any HMS through API or file-feed patterns</w:t>
      </w:r>
    </w:p>
    <w:p>
      <w:pPr>
        <w:pStyle w:val="ListParagraph"/>
        <w:numPr>
          <w:ilvl w:val="0"/>
          <w:numId w:val="10"/>
        </w:numPr>
      </w:pPr>
      <w:r>
        <w:rPr>
          <w:b/>
          <w:bCs/>
        </w:rPr>
        <w:t xml:space="preserve">Intelligent Actions: </w:t>
      </w:r>
      <w:r>
        <w:t xml:space="preserve">AI-generated remediation recommendations with priority scoring</w:t>
      </w:r>
    </w:p>
    <w:p>
      <w:pPr>
        <w:pStyle w:val="ListParagraph"/>
        <w:numPr>
          <w:ilvl w:val="0"/>
          <w:numId w:val="10"/>
        </w:numPr>
      </w:pPr>
      <w:r>
        <w:rPr>
          <w:b/>
          <w:bCs/>
        </w:rPr>
        <w:t xml:space="preserve">Future Ready: </w:t>
      </w:r>
      <w:r>
        <w:t xml:space="preserve">Agentic AI architecture prepared for next-generation capabilities</w:t>
      </w:r>
    </w:p>
    <w:p>
      <w:pPr>
        <w:pStyle w:val="Heading2"/>
      </w:pPr>
      <w:r>
        <w:t xml:space="preserve">10.2 Recommended Next Steps</w:t>
      </w:r>
    </w:p>
    <w:p>
      <w:pPr>
        <w:pStyle w:val="ListParagraph"/>
        <w:numPr>
          <w:ilvl w:val="0"/>
          <w:numId w:val="2"/>
        </w:numPr>
      </w:pPr>
      <w:r>
        <w:t xml:space="preserve">Discovery workshop to assess current compliance processes and HMS landscape</w:t>
      </w:r>
    </w:p>
    <w:p>
      <w:pPr>
        <w:pStyle w:val="ListParagraph"/>
        <w:numPr>
          <w:ilvl w:val="0"/>
          <w:numId w:val="2"/>
        </w:numPr>
      </w:pPr>
      <w:r>
        <w:t xml:space="preserve">Sample certificate analysis to validate AI extraction accuracy</w:t>
      </w:r>
    </w:p>
    <w:p>
      <w:pPr>
        <w:pStyle w:val="ListParagraph"/>
        <w:numPr>
          <w:ilvl w:val="0"/>
          <w:numId w:val="2"/>
        </w:numPr>
      </w:pPr>
      <w:r>
        <w:t xml:space="preserve">Integration assessment for primary HMS platform</w:t>
      </w:r>
    </w:p>
    <w:p>
      <w:pPr>
        <w:pStyle w:val="ListParagraph"/>
        <w:numPr>
          <w:ilvl w:val="0"/>
          <w:numId w:val="2"/>
        </w:numPr>
      </w:pPr>
      <w:r>
        <w:t xml:space="preserve">Business case development with organization-specific ROI projections</w:t>
      </w:r>
    </w:p>
    <w:p>
      <w:pPr>
        <w:pStyle w:val="ListParagraph"/>
        <w:numPr>
          <w:ilvl w:val="0"/>
          <w:numId w:val="2"/>
        </w:numPr>
      </w:pPr>
      <w:r>
        <w:t xml:space="preserve">Proof of concept delivery on priority compliance area</w:t>
      </w:r>
    </w:p>
    <w:p>
      <w:pPr>
        <w:spacing w:before="400"/>
        <w:jc w:val="center"/>
      </w:pPr>
      <w:r>
        <w:rPr>
          <w:i/>
          <w:iCs/>
          <w:color w:val="666666"/>
        </w:rPr>
        <w:t xml:space="preserve">— End of Document —</w:t>
      </w:r>
    </w:p>
    <w:p>
      <w:pPr>
        <w:spacing w:before="200"/>
        <w:jc w:val="center"/>
      </w:pPr>
      <w:r>
        <w:rPr>
          <w:color w:val="666666"/>
          <w:sz w:val="18"/>
          <w:szCs w:val="18"/>
        </w:rPr>
        <w:t xml:space="preserve">LASHAN Digital | Enterprise Architecture for Social Housing</w:t>
      </w:r>
    </w:p>
    <w:p>
      <w:pPr>
        <w:jc w:val="center"/>
      </w:pPr>
      <w:r>
        <w:rPr>
          <w:color w:val="2E86AB"/>
          <w:sz w:val="18"/>
          <w:szCs w:val="18"/>
        </w:rPr>
        <w:t xml:space="preserve">www.lashandigital.com</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LASHAN Digital | Confidential | Page </w:t>
    </w:r>
    <w:r>
      <w:rPr>
        <w:color w:val="666666"/>
        <w:sz w:val="18"/>
        <w:szCs w:val="18"/>
      </w:rPr>
      <w:fldChar w:fldCharType="begin"/>
      <w:instrText xml:space="preserve">PAGE</w:instrText>
      <w:fldChar w:fldCharType="separate"/>
      <w:fldChar w:fldCharType="end"/>
    </w:r>
    <w:r>
      <w:rPr>
        <w:color w:val="666666"/>
        <w:sz w:val="18"/>
        <w:szCs w:val="18"/>
      </w:rPr>
      <w:t xml:space="preserve"> of </w:t>
    </w:r>
    <w:r>
      <w:rPr>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18"/>
        <w:szCs w:val="18"/>
      </w:rPr>
      <w:t xml:space="preserve">AI-Enabled Compliance Management Solution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B4F72"/>
      <w:sz w:val="52"/>
      <w:szCs w:val="52"/>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E86AB"/>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2025-12-14T22:48:45.446Z</dcterms:created>
  <dcterms:modified xsi:type="dcterms:W3CDTF">2025-12-14T22:48:45.447Z</dcterms:modified>
</cp:coreProperties>
</file>

<file path=docProps/custom.xml><?xml version="1.0" encoding="utf-8"?>
<Properties xmlns="http://schemas.openxmlformats.org/officeDocument/2006/custom-properties" xmlns:vt="http://schemas.openxmlformats.org/officeDocument/2006/docPropsVTypes"/>
</file>