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rPr/>
      </w:pPr>
      <w:r w:rsidDel="00000000" w:rsidR="00000000" w:rsidRPr="00000000">
        <w:rPr>
          <w:rtl w:val="0"/>
        </w:rPr>
        <w:tab/>
        <w:tab/>
        <w:tab/>
      </w:r>
    </w:p>
    <w:p w:rsidR="00000000" w:rsidDel="00000000" w:rsidP="00000000" w:rsidRDefault="00000000" w:rsidRPr="00000000">
      <w:pPr>
        <w:ind w:left="0" w:firstLine="0"/>
        <w:contextualSpacing w:val="0"/>
        <w:rPr>
          <w:rFonts w:ascii="Times New Roman" w:cs="Times New Roman" w:eastAsia="Times New Roman" w:hAnsi="Times New Roman"/>
          <w:i w:val="1"/>
          <w:sz w:val="72"/>
          <w:szCs w:val="72"/>
          <w:u w:val="singl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72"/>
          <w:szCs w:val="72"/>
          <w:u w:val="single"/>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i w:val="1"/>
          <w:sz w:val="72"/>
          <w:szCs w:val="72"/>
          <w:u w:val="single"/>
        </w:rPr>
      </w:pPr>
      <w:r w:rsidDel="00000000" w:rsidR="00000000" w:rsidRPr="00000000">
        <w:rPr>
          <w:rtl w:val="0"/>
        </w:rPr>
      </w:r>
    </w:p>
    <w:p w:rsidR="00000000" w:rsidDel="00000000" w:rsidP="00000000" w:rsidRDefault="00000000" w:rsidRPr="00000000">
      <w:pPr>
        <w:ind w:left="720" w:firstLine="720"/>
        <w:contextualSpacing w:val="0"/>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 PostgreSQL</w:t>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Javier Ramos Fernández</w:t>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fda7w5kf7r1" w:id="0"/>
      <w:bookmarkEnd w:id="0"/>
      <w:r w:rsidDel="00000000" w:rsidR="00000000" w:rsidRPr="00000000">
        <w:rPr>
          <w:rtl w:val="0"/>
        </w:rPr>
        <w:t xml:space="preserve">Tipos de datos </w:t>
      </w:r>
    </w:p>
    <w:p w:rsidR="00000000" w:rsidDel="00000000" w:rsidP="00000000" w:rsidRDefault="00000000" w:rsidRPr="00000000">
      <w:pPr>
        <w:pStyle w:val="Heading2"/>
        <w:contextualSpacing w:val="0"/>
        <w:rPr/>
      </w:pPr>
      <w:bookmarkStart w:colFirst="0" w:colLast="0" w:name="_5x9o0befufux" w:id="1"/>
      <w:bookmarkEnd w:id="1"/>
      <w:r w:rsidDel="00000000" w:rsidR="00000000" w:rsidRPr="00000000">
        <w:rPr>
          <w:rtl w:val="0"/>
        </w:rPr>
        <w:t xml:space="preserve">Primitivos</w:t>
      </w:r>
    </w:p>
    <w:p w:rsidR="00000000" w:rsidDel="00000000" w:rsidP="00000000" w:rsidRDefault="00000000" w:rsidRPr="00000000">
      <w:pPr>
        <w:pStyle w:val="Subtitle"/>
        <w:contextualSpacing w:val="0"/>
        <w:rPr/>
      </w:pPr>
      <w:bookmarkStart w:colFirst="0" w:colLast="0" w:name="_n738ntf1u11l" w:id="2"/>
      <w:bookmarkEnd w:id="2"/>
      <w:r w:rsidDel="00000000" w:rsidR="00000000" w:rsidRPr="00000000">
        <w:rPr>
          <w:rtl w:val="0"/>
        </w:rPr>
        <w:t xml:space="preserve">Numéricos</w:t>
      </w:r>
    </w:p>
    <w:p w:rsidR="00000000" w:rsidDel="00000000" w:rsidP="00000000" w:rsidRDefault="00000000" w:rsidRPr="00000000">
      <w:pPr>
        <w:contextualSpacing w:val="0"/>
        <w:rPr/>
      </w:pPr>
      <w:r w:rsidDel="00000000" w:rsidR="00000000" w:rsidRPr="00000000">
        <w:rPr/>
        <w:drawing>
          <wp:inline distB="114300" distT="114300" distL="114300" distR="114300">
            <wp:extent cx="6081713" cy="3667125"/>
            <wp:effectExtent b="0" l="0" r="0" t="0"/>
            <wp:docPr id="7"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6081713" cy="3667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100763" cy="3267075"/>
            <wp:effectExtent b="0" l="0" r="0" t="0"/>
            <wp:docPr id="17"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6100763" cy="3267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cwtf6z7rezpc" w:id="3"/>
      <w:bookmarkEnd w:id="3"/>
      <w:r w:rsidDel="00000000" w:rsidR="00000000" w:rsidRPr="00000000">
        <w:rPr>
          <w:rtl w:val="0"/>
        </w:rPr>
        <w:t xml:space="preserve"> Monetarios</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338263"/>
            <wp:effectExtent b="0" l="0" r="0" t="0"/>
            <wp:docPr id="16"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5943600" cy="1338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wtrkwbgudumh" w:id="4"/>
      <w:bookmarkEnd w:id="4"/>
      <w:r w:rsidDel="00000000" w:rsidR="00000000" w:rsidRPr="00000000">
        <w:rPr>
          <w:rtl w:val="0"/>
        </w:rPr>
        <w:t xml:space="preserve"> Caracteres</w:t>
      </w:r>
    </w:p>
    <w:p w:rsidR="00000000" w:rsidDel="00000000" w:rsidP="00000000" w:rsidRDefault="00000000" w:rsidRPr="00000000">
      <w:pPr>
        <w:contextualSpacing w:val="0"/>
        <w:rPr/>
      </w:pPr>
      <w:r w:rsidDel="00000000" w:rsidR="00000000" w:rsidRPr="00000000">
        <w:rPr/>
        <w:drawing>
          <wp:inline distB="114300" distT="114300" distL="114300" distR="114300">
            <wp:extent cx="5953125" cy="1890713"/>
            <wp:effectExtent b="0" l="0" r="0" t="0"/>
            <wp:docPr id="15"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a:off x="0" y="0"/>
                      <a:ext cx="5953125" cy="1890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usb5ydde6932" w:id="5"/>
      <w:bookmarkEnd w:id="5"/>
      <w:r w:rsidDel="00000000" w:rsidR="00000000" w:rsidRPr="00000000">
        <w:rPr>
          <w:rtl w:val="0"/>
        </w:rPr>
        <w:t xml:space="preserve">Binarios</w:t>
      </w:r>
    </w:p>
    <w:p w:rsidR="00000000" w:rsidDel="00000000" w:rsidP="00000000" w:rsidRDefault="00000000" w:rsidRPr="00000000">
      <w:pPr>
        <w:contextualSpacing w:val="0"/>
        <w:rPr/>
      </w:pPr>
      <w:r w:rsidDel="00000000" w:rsidR="00000000" w:rsidRPr="00000000">
        <w:rPr/>
        <w:drawing>
          <wp:inline distB="114300" distT="114300" distL="114300" distR="114300">
            <wp:extent cx="5881688" cy="962025"/>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881688" cy="9620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7ylx61duzr3r" w:id="6"/>
      <w:bookmarkEnd w:id="6"/>
      <w:r w:rsidDel="00000000" w:rsidR="00000000" w:rsidRPr="00000000">
        <w:rPr>
          <w:rtl w:val="0"/>
        </w:rPr>
        <w:t xml:space="preserve">Fecha/Tiempo</w:t>
      </w:r>
    </w:p>
    <w:p w:rsidR="00000000" w:rsidDel="00000000" w:rsidP="00000000" w:rsidRDefault="00000000" w:rsidRPr="00000000">
      <w:pPr>
        <w:contextualSpacing w:val="0"/>
        <w:rPr/>
      </w:pPr>
      <w:r w:rsidDel="00000000" w:rsidR="00000000" w:rsidRPr="00000000">
        <w:rPr/>
        <w:drawing>
          <wp:inline distB="114300" distT="114300" distL="114300" distR="114300">
            <wp:extent cx="5853113" cy="4257675"/>
            <wp:effectExtent b="0" l="0" r="0" t="0"/>
            <wp:docPr id="13"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5853113" cy="4257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c44owwk8erb0" w:id="7"/>
      <w:bookmarkEnd w:id="7"/>
      <w:r w:rsidDel="00000000" w:rsidR="00000000" w:rsidRPr="00000000">
        <w:rPr>
          <w:rtl w:val="0"/>
        </w:rPr>
        <w:t xml:space="preserve">Booleano</w:t>
      </w:r>
    </w:p>
    <w:p w:rsidR="00000000" w:rsidDel="00000000" w:rsidP="00000000" w:rsidRDefault="00000000" w:rsidRPr="00000000">
      <w:pPr>
        <w:contextualSpacing w:val="0"/>
        <w:rPr/>
      </w:pPr>
      <w:r w:rsidDel="00000000" w:rsidR="00000000" w:rsidRPr="00000000">
        <w:rPr/>
        <w:drawing>
          <wp:inline distB="114300" distT="114300" distL="114300" distR="114300">
            <wp:extent cx="5838825" cy="966788"/>
            <wp:effectExtent b="0" l="0" r="0" t="0"/>
            <wp:docPr id="11"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5838825" cy="966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qa12wi1muq51" w:id="8"/>
      <w:bookmarkEnd w:id="8"/>
      <w:r w:rsidDel="00000000" w:rsidR="00000000" w:rsidRPr="00000000">
        <w:rPr>
          <w:rtl w:val="0"/>
        </w:rPr>
        <w:t xml:space="preserve">Enumerado</w:t>
      </w:r>
    </w:p>
    <w:p w:rsidR="00000000" w:rsidDel="00000000" w:rsidP="00000000" w:rsidRDefault="00000000" w:rsidRPr="00000000">
      <w:pPr>
        <w:contextualSpacing w:val="0"/>
        <w:rPr/>
      </w:pPr>
      <w:r w:rsidDel="00000000" w:rsidR="00000000" w:rsidRPr="00000000">
        <w:rPr/>
        <w:drawing>
          <wp:inline distB="114300" distT="114300" distL="114300" distR="114300">
            <wp:extent cx="5910263" cy="666750"/>
            <wp:effectExtent b="0" l="0" r="0" t="0"/>
            <wp:docPr id="22"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5910263" cy="666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iej9o8l2r4zr" w:id="9"/>
      <w:bookmarkEnd w:id="9"/>
      <w:r w:rsidDel="00000000" w:rsidR="00000000" w:rsidRPr="00000000">
        <w:rPr>
          <w:rtl w:val="0"/>
        </w:rPr>
        <w:t xml:space="preserve">Geométricos</w:t>
      </w:r>
    </w:p>
    <w:p w:rsidR="00000000" w:rsidDel="00000000" w:rsidP="00000000" w:rsidRDefault="00000000" w:rsidRPr="00000000">
      <w:pPr>
        <w:contextualSpacing w:val="0"/>
        <w:rPr/>
      </w:pPr>
      <w:r w:rsidDel="00000000" w:rsidR="00000000" w:rsidRPr="00000000">
        <w:rPr/>
        <w:drawing>
          <wp:inline distB="114300" distT="114300" distL="114300" distR="114300">
            <wp:extent cx="6081713" cy="3886200"/>
            <wp:effectExtent b="0" l="0" r="0" t="0"/>
            <wp:docPr id="21" name="image43.png"/>
            <a:graphic>
              <a:graphicData uri="http://schemas.openxmlformats.org/drawingml/2006/picture">
                <pic:pic>
                  <pic:nvPicPr>
                    <pic:cNvPr id="0" name="image43.png"/>
                    <pic:cNvPicPr preferRelativeResize="0"/>
                  </pic:nvPicPr>
                  <pic:blipFill>
                    <a:blip r:embed="rId13"/>
                    <a:srcRect b="0" l="0" r="0" t="0"/>
                    <a:stretch>
                      <a:fillRect/>
                    </a:stretch>
                  </pic:blipFill>
                  <pic:spPr>
                    <a:xfrm>
                      <a:off x="0" y="0"/>
                      <a:ext cx="6081713" cy="3886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60tkiy40zdua" w:id="10"/>
      <w:bookmarkEnd w:id="10"/>
      <w:r w:rsidDel="00000000" w:rsidR="00000000" w:rsidRPr="00000000">
        <w:rPr>
          <w:rtl w:val="0"/>
        </w:rPr>
        <w:t xml:space="preserve">Arrays</w:t>
      </w:r>
    </w:p>
    <w:p w:rsidR="00000000" w:rsidDel="00000000" w:rsidP="00000000" w:rsidRDefault="00000000" w:rsidRPr="00000000">
      <w:pPr>
        <w:pStyle w:val="Heading4"/>
        <w:contextualSpacing w:val="0"/>
        <w:rPr/>
      </w:pPr>
      <w:bookmarkStart w:colFirst="0" w:colLast="0" w:name="_1ye9l9wtz9ek" w:id="11"/>
      <w:bookmarkEnd w:id="11"/>
      <w:r w:rsidDel="00000000" w:rsidR="00000000" w:rsidRPr="00000000">
        <w:rPr>
          <w:rtl w:val="0"/>
        </w:rPr>
        <w:t xml:space="preserve">Declaración</w:t>
      </w:r>
    </w:p>
    <w:p w:rsidR="00000000" w:rsidDel="00000000" w:rsidP="00000000" w:rsidRDefault="00000000" w:rsidRPr="00000000">
      <w:pPr>
        <w:contextualSpacing w:val="0"/>
        <w:rPr>
          <w:sz w:val="24"/>
          <w:szCs w:val="24"/>
        </w:rPr>
      </w:pPr>
      <w:r w:rsidDel="00000000" w:rsidR="00000000" w:rsidRPr="00000000">
        <w:rPr>
          <w:rtl w:val="0"/>
        </w:rPr>
        <w:tab/>
      </w:r>
      <w:r w:rsidDel="00000000" w:rsidR="00000000" w:rsidRPr="00000000">
        <w:rPr>
          <w:sz w:val="24"/>
          <w:szCs w:val="24"/>
          <w:rtl w:val="0"/>
        </w:rPr>
        <w:t xml:space="preserve">Los arrays se pueden declarar de dos formas distintas: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681663" cy="1790700"/>
            <wp:effectExtent b="0" l="0" r="0" t="0"/>
            <wp:docPr id="12"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5681663" cy="1790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Utilizando la palabra clave “ARRAY”:  </w:t>
      </w:r>
    </w:p>
    <w:p w:rsidR="00000000" w:rsidDel="00000000" w:rsidP="00000000" w:rsidRDefault="00000000" w:rsidRPr="00000000">
      <w:pPr>
        <w:contextualSpacing w:val="0"/>
        <w:rPr/>
      </w:pPr>
      <w:r w:rsidDel="00000000" w:rsidR="00000000" w:rsidRPr="00000000">
        <w:rPr>
          <w:rtl w:val="0"/>
        </w:rPr>
        <w:tab/>
      </w:r>
      <w:r w:rsidDel="00000000" w:rsidR="00000000" w:rsidRPr="00000000">
        <w:rPr/>
        <w:drawing>
          <wp:inline distB="114300" distT="114300" distL="114300" distR="114300">
            <wp:extent cx="5843588" cy="1704975"/>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43588" cy="1704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s6a81huqd2a3" w:id="12"/>
      <w:bookmarkEnd w:id="12"/>
      <w:r w:rsidDel="00000000" w:rsidR="00000000" w:rsidRPr="00000000">
        <w:rPr>
          <w:rtl w:val="0"/>
        </w:rPr>
        <w:t xml:space="preserve">Inserción</w:t>
      </w:r>
    </w:p>
    <w:p w:rsidR="00000000" w:rsidDel="00000000" w:rsidP="00000000" w:rsidRDefault="00000000" w:rsidRPr="00000000">
      <w:pPr>
        <w:contextualSpacing w:val="0"/>
        <w:rPr/>
      </w:pPr>
      <w:r w:rsidDel="00000000" w:rsidR="00000000" w:rsidRPr="00000000">
        <w:rPr>
          <w:rtl w:val="0"/>
        </w:rPr>
        <w:t xml:space="preserve">Los valores de un array se pueden insertar como constantes literales, encerrando los valores del elemento entre llaves y separándolos por comas. Un ejemplo es el siguiente: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272213" cy="15621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272213" cy="156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nl3slv1qtel8" w:id="13"/>
      <w:bookmarkEnd w:id="13"/>
      <w:r w:rsidDel="00000000" w:rsidR="00000000" w:rsidRPr="00000000">
        <w:rPr>
          <w:rtl w:val="0"/>
        </w:rPr>
        <w:t xml:space="preserve">Acceso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continuación se muestra un ejemplo para acceder a los arrays. El comando que se da a continuación seleccionará las personas cuyos ahorros sean mayores en el segundo trimestre que en el cuarto trimestre.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900113"/>
            <wp:effectExtent b="0" l="0" r="0" 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4050" cy="9001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pPr>
      <w:bookmarkStart w:colFirst="0" w:colLast="0" w:name="_sqouyvq1n19k" w:id="14"/>
      <w:bookmarkEnd w:id="14"/>
      <w:r w:rsidDel="00000000" w:rsidR="00000000" w:rsidRPr="00000000">
        <w:rPr>
          <w:rtl w:val="0"/>
        </w:rPr>
        <w:t xml:space="preserve">Modificación</w:t>
      </w:r>
    </w:p>
    <w:p w:rsidR="00000000" w:rsidDel="00000000" w:rsidP="00000000" w:rsidRDefault="00000000" w:rsidRPr="00000000">
      <w:pPr>
        <w:contextualSpacing w:val="0"/>
        <w:rPr/>
      </w:pPr>
      <w:r w:rsidDel="00000000" w:rsidR="00000000" w:rsidRPr="00000000">
        <w:rPr>
          <w:rtl w:val="0"/>
        </w:rPr>
        <w:t xml:space="preserve">Se puede modificar un array de dos formas distintas: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200025</wp:posOffset>
            </wp:positionH>
            <wp:positionV relativeFrom="paragraph">
              <wp:posOffset>19050</wp:posOffset>
            </wp:positionV>
            <wp:extent cx="5734050" cy="685800"/>
            <wp:effectExtent b="0" l="0" r="0" t="0"/>
            <wp:wrapSquare wrapText="bothSides" distB="114300" distT="114300" distL="114300" distR="114300"/>
            <wp:docPr id="10"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5734050" cy="6858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200025</wp:posOffset>
            </wp:positionH>
            <wp:positionV relativeFrom="paragraph">
              <wp:posOffset>38100</wp:posOffset>
            </wp:positionV>
            <wp:extent cx="5676900" cy="766763"/>
            <wp:effectExtent b="0" l="0" r="0" t="0"/>
            <wp:wrapSquare wrapText="bothSides" distB="114300" distT="114300" distL="114300" distR="114300"/>
            <wp:docPr id="18"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5676900" cy="76676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rnlf39fs2l4x" w:id="15"/>
      <w:bookmarkEnd w:id="15"/>
      <w:r w:rsidDel="00000000" w:rsidR="00000000" w:rsidRPr="00000000">
        <w:rPr>
          <w:rtl w:val="0"/>
        </w:rPr>
        <w:t xml:space="preserve">Búsqueda</w:t>
      </w:r>
    </w:p>
    <w:p w:rsidR="00000000" w:rsidDel="00000000" w:rsidP="00000000" w:rsidRDefault="00000000" w:rsidRPr="00000000">
      <w:pPr>
        <w:contextualSpacing w:val="0"/>
        <w:rPr/>
      </w:pPr>
      <w:r w:rsidDel="00000000" w:rsidR="00000000" w:rsidRPr="00000000">
        <w:rPr>
          <w:rtl w:val="0"/>
        </w:rPr>
        <w:t xml:space="preserve">Un ejemplo de búsqueda de un array es el siguiente:</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143000"/>
            <wp:effectExtent b="0" l="0" r="0" t="0"/>
            <wp:docPr id="20" name="image42.png"/>
            <a:graphic>
              <a:graphicData uri="http://schemas.openxmlformats.org/drawingml/2006/picture">
                <pic:pic>
                  <pic:nvPicPr>
                    <pic:cNvPr id="0" name="image42.png"/>
                    <pic:cNvPicPr preferRelativeResize="0"/>
                  </pic:nvPicPr>
                  <pic:blipFill>
                    <a:blip r:embed="rId20"/>
                    <a:srcRect b="0" l="0" r="0" t="0"/>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 se conoce el tamaño de la matriz, se puede utilizar el método de búsqueda indicado anteriormente. Si no, el siguiente ejemplo muestra cómo buscar un array cuando no se conoce el tamaño.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614363"/>
            <wp:effectExtent b="0" l="0" r="0" t="0"/>
            <wp:docPr id="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4050" cy="6143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979ihp5d7o4h" w:id="16"/>
      <w:bookmarkEnd w:id="16"/>
      <w:r w:rsidDel="00000000" w:rsidR="00000000" w:rsidRPr="00000000">
        <w:rPr>
          <w:rtl w:val="0"/>
        </w:rPr>
        <w:t xml:space="preserve">Compuestos</w:t>
      </w:r>
    </w:p>
    <w:p w:rsidR="00000000" w:rsidDel="00000000" w:rsidP="00000000" w:rsidRDefault="00000000" w:rsidRPr="00000000">
      <w:pPr>
        <w:pStyle w:val="Heading3"/>
        <w:contextualSpacing w:val="0"/>
        <w:rPr/>
      </w:pPr>
      <w:bookmarkStart w:colFirst="0" w:colLast="0" w:name="_nxxnj0c5unpm" w:id="17"/>
      <w:bookmarkEnd w:id="17"/>
      <w:r w:rsidDel="00000000" w:rsidR="00000000" w:rsidRPr="00000000">
        <w:rPr>
          <w:rtl w:val="0"/>
        </w:rPr>
        <w:t xml:space="preserve">Declaración</w:t>
      </w:r>
    </w:p>
    <w:p w:rsidR="00000000" w:rsidDel="00000000" w:rsidP="00000000" w:rsidRDefault="00000000" w:rsidRPr="00000000">
      <w:pPr>
        <w:contextualSpacing w:val="0"/>
        <w:rPr/>
      </w:pPr>
      <w:r w:rsidDel="00000000" w:rsidR="00000000" w:rsidRPr="00000000">
        <w:rPr>
          <w:rtl w:val="0"/>
        </w:rPr>
        <w:t xml:space="preserve">El siguiente ejemplo muestra cómo declarar un tipo compuesto:</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690688"/>
            <wp:effectExtent b="0" l="0" r="0" t="0"/>
            <wp:docPr id="14"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5943600" cy="1690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Este tipo de datos se puede utilizar a la hora de crear tablas como se indica a continuación:</w:t>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1404938"/>
            <wp:effectExtent b="0" l="0" r="0" t="0"/>
            <wp:docPr id="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734050" cy="1404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6en37ib0g1m3" w:id="18"/>
      <w:bookmarkEnd w:id="18"/>
      <w:r w:rsidDel="00000000" w:rsidR="00000000" w:rsidRPr="00000000">
        <w:rPr>
          <w:rtl w:val="0"/>
        </w:rPr>
        <w:t xml:space="preserve">Valores de entrada</w:t>
      </w:r>
    </w:p>
    <w:p w:rsidR="00000000" w:rsidDel="00000000" w:rsidP="00000000" w:rsidRDefault="00000000" w:rsidRPr="00000000">
      <w:pPr>
        <w:contextualSpacing w:val="0"/>
        <w:rPr/>
      </w:pPr>
      <w:r w:rsidDel="00000000" w:rsidR="00000000" w:rsidRPr="00000000">
        <w:rPr>
          <w:rtl w:val="0"/>
        </w:rPr>
        <w:t xml:space="preserve">Los valores compuestos se pueden insertar como una constante literal, encerrando los valores de campo entre paréntesis y separándolos por comas. A continuación se muestra un ejemplo:</w:t>
      </w:r>
    </w:p>
    <w:p w:rsidR="00000000" w:rsidDel="00000000" w:rsidP="00000000" w:rsidRDefault="00000000" w:rsidRPr="00000000">
      <w:pPr>
        <w:contextualSpacing w:val="0"/>
        <w:rPr/>
      </w:pPr>
      <w:r w:rsidDel="00000000" w:rsidR="00000000" w:rsidRPr="00000000">
        <w:rPr/>
        <w:drawing>
          <wp:inline distB="114300" distT="114300" distL="114300" distR="114300">
            <wp:extent cx="5800725" cy="500063"/>
            <wp:effectExtent b="0" l="0" r="0" t="0"/>
            <wp:docPr id="5"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800725" cy="500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Esto es válido para el </w:t>
      </w:r>
      <w:r w:rsidDel="00000000" w:rsidR="00000000" w:rsidRPr="00000000">
        <w:rPr>
          <w:i w:val="1"/>
          <w:rtl w:val="0"/>
        </w:rPr>
        <w:t xml:space="preserve">inventory_item</w:t>
      </w:r>
      <w:r w:rsidDel="00000000" w:rsidR="00000000" w:rsidRPr="00000000">
        <w:rPr>
          <w:rtl w:val="0"/>
        </w:rPr>
        <w:t xml:space="preserve"> definido anteriormente. La palabra clave </w:t>
      </w:r>
      <w:r w:rsidDel="00000000" w:rsidR="00000000" w:rsidRPr="00000000">
        <w:rPr>
          <w:b w:val="1"/>
          <w:rtl w:val="0"/>
        </w:rPr>
        <w:t xml:space="preserve">ROW</w:t>
      </w:r>
      <w:r w:rsidDel="00000000" w:rsidR="00000000" w:rsidRPr="00000000">
        <w:rPr>
          <w:rtl w:val="0"/>
        </w:rPr>
        <w:t xml:space="preserve"> es en realidad opcional siempre y cuando se tenga más de un campo en la expresión.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kzmmntgdfdkj" w:id="19"/>
      <w:bookmarkEnd w:id="19"/>
      <w:r w:rsidDel="00000000" w:rsidR="00000000" w:rsidRPr="00000000">
        <w:rPr>
          <w:rtl w:val="0"/>
        </w:rPr>
        <w:t xml:space="preserve">Acceso</w:t>
      </w:r>
    </w:p>
    <w:p w:rsidR="00000000" w:rsidDel="00000000" w:rsidP="00000000" w:rsidRDefault="00000000" w:rsidRPr="00000000">
      <w:pPr>
        <w:contextualSpacing w:val="0"/>
        <w:rPr/>
      </w:pPr>
      <w:r w:rsidDel="00000000" w:rsidR="00000000" w:rsidRPr="00000000">
        <w:rPr>
          <w:rtl w:val="0"/>
        </w:rPr>
        <w:t xml:space="preserve">Para acceder a un campo de una columna compuesta, se utiliza un punto seguido del nombre del campo, al igual que se selecciona un campo de un nombre de tabla. Por ejemplo, para seleccionar algunos subcampos de nuestra tabla de ejemplo </w:t>
      </w:r>
      <w:r w:rsidDel="00000000" w:rsidR="00000000" w:rsidRPr="00000000">
        <w:rPr>
          <w:i w:val="1"/>
          <w:rtl w:val="0"/>
        </w:rPr>
        <w:t xml:space="preserve">on_hand</w:t>
      </w:r>
      <w:r w:rsidDel="00000000" w:rsidR="00000000" w:rsidRPr="00000000">
        <w:rPr>
          <w:rtl w:val="0"/>
        </w:rPr>
        <w:t xml:space="preserve">, la consulta sería como se muestra a continuación: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595313"/>
            <wp:effectExtent b="0" l="0" r="0" t="0"/>
            <wp:docPr id="8"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734050" cy="595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También se puede utilizar el nombre de tabla (por ejemplo, en una consulta multitabla), de la siguiente manera: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566738"/>
            <wp:effectExtent b="0" l="0" r="0" t="0"/>
            <wp:docPr id="19" name="image41.png"/>
            <a:graphic>
              <a:graphicData uri="http://schemas.openxmlformats.org/drawingml/2006/picture">
                <pic:pic>
                  <pic:nvPicPr>
                    <pic:cNvPr id="0" name="image41.png"/>
                    <pic:cNvPicPr preferRelativeResize="0"/>
                  </pic:nvPicPr>
                  <pic:blipFill>
                    <a:blip r:embed="rId26"/>
                    <a:srcRect b="0" l="0" r="0" t="0"/>
                    <a:stretch>
                      <a:fillRect/>
                    </a:stretch>
                  </pic:blipFill>
                  <pic:spPr>
                    <a:xfrm>
                      <a:off x="0" y="0"/>
                      <a:ext cx="5734050" cy="5667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69zkz35lonn" w:id="20"/>
      <w:bookmarkEnd w:id="20"/>
      <w:r w:rsidDel="00000000" w:rsidR="00000000" w:rsidRPr="00000000">
        <w:rPr>
          <w:rtl w:val="0"/>
        </w:rPr>
      </w:r>
    </w:p>
    <w:p w:rsidR="00000000" w:rsidDel="00000000" w:rsidP="00000000" w:rsidRDefault="00000000" w:rsidRPr="00000000">
      <w:pPr>
        <w:pStyle w:val="Heading2"/>
        <w:contextualSpacing w:val="0"/>
        <w:rPr/>
      </w:pPr>
      <w:bookmarkStart w:colFirst="0" w:colLast="0" w:name="_a8ixb5j91fkz" w:id="21"/>
      <w:bookmarkEnd w:id="21"/>
      <w:r w:rsidDel="00000000" w:rsidR="00000000" w:rsidRPr="00000000">
        <w:rPr>
          <w:rtl w:val="0"/>
        </w:rPr>
        <w:t xml:space="preserve">Rangos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tipos de rango representan tipos de datos que utilizan un rango de datos. Los rangos pueden ser rangos </w:t>
      </w:r>
      <w:r w:rsidDel="00000000" w:rsidR="00000000" w:rsidRPr="00000000">
        <w:rPr>
          <w:b w:val="1"/>
          <w:rtl w:val="0"/>
        </w:rPr>
        <w:t xml:space="preserve">discretos</w:t>
      </w:r>
      <w:r w:rsidDel="00000000" w:rsidR="00000000" w:rsidRPr="00000000">
        <w:rPr>
          <w:rtl w:val="0"/>
        </w:rPr>
        <w:t xml:space="preserve"> (por ejemplo, todos los valores enteros 1 a 10) o rangos continuos (por ejemplo, cualquier punto en el tiempo entre las 10:00am y las 11:00am). Los tipos disponibles incluyen los siguientes rangos: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int4range</w:t>
      </w:r>
      <w:r w:rsidDel="00000000" w:rsidR="00000000" w:rsidRPr="00000000">
        <w:rPr>
          <w:rtl w:val="0"/>
        </w:rPr>
        <w:t xml:space="preserve"> - Rango de enteros</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int8range</w:t>
      </w:r>
      <w:r w:rsidDel="00000000" w:rsidR="00000000" w:rsidRPr="00000000">
        <w:rPr>
          <w:rtl w:val="0"/>
        </w:rPr>
        <w:t xml:space="preserve"> - Rango de </w:t>
      </w:r>
      <w:r w:rsidDel="00000000" w:rsidR="00000000" w:rsidRPr="00000000">
        <w:rPr>
          <w:i w:val="1"/>
          <w:rtl w:val="0"/>
        </w:rPr>
        <w:t xml:space="preserve">bigint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numrange</w:t>
      </w:r>
      <w:r w:rsidDel="00000000" w:rsidR="00000000" w:rsidRPr="00000000">
        <w:rPr>
          <w:rtl w:val="0"/>
        </w:rPr>
        <w:t xml:space="preserve"> - Rango de </w:t>
      </w:r>
      <w:r w:rsidDel="00000000" w:rsidR="00000000" w:rsidRPr="00000000">
        <w:rPr>
          <w:i w:val="1"/>
          <w:rtl w:val="0"/>
        </w:rPr>
        <w:t xml:space="preserve">numeric</w:t>
      </w: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tsrange</w:t>
      </w:r>
      <w:r w:rsidDel="00000000" w:rsidR="00000000" w:rsidRPr="00000000">
        <w:rPr>
          <w:rtl w:val="0"/>
        </w:rPr>
        <w:t xml:space="preserve"> - Rango de marcas temporales sin zona horaria</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tstzrange</w:t>
      </w:r>
      <w:r w:rsidDel="00000000" w:rsidR="00000000" w:rsidRPr="00000000">
        <w:rPr>
          <w:rtl w:val="0"/>
        </w:rPr>
        <w:t xml:space="preserve"> - Rango de marcas temporales con zona horaria</w:t>
      </w:r>
    </w:p>
    <w:p w:rsidR="00000000" w:rsidDel="00000000" w:rsidP="00000000" w:rsidRDefault="00000000" w:rsidRPr="00000000">
      <w:pPr>
        <w:numPr>
          <w:ilvl w:val="0"/>
          <w:numId w:val="5"/>
        </w:numPr>
        <w:ind w:left="720" w:hanging="360"/>
        <w:contextualSpacing w:val="1"/>
        <w:rPr>
          <w:u w:val="none"/>
        </w:rPr>
      </w:pPr>
      <w:r w:rsidDel="00000000" w:rsidR="00000000" w:rsidRPr="00000000">
        <w:rPr>
          <w:b w:val="1"/>
          <w:rtl w:val="0"/>
        </w:rPr>
        <w:t xml:space="preserve">daterange</w:t>
      </w:r>
      <w:r w:rsidDel="00000000" w:rsidR="00000000" w:rsidRPr="00000000">
        <w:rPr>
          <w:rtl w:val="0"/>
        </w:rPr>
        <w:t xml:space="preserve"> - Rango de fechas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Los tipos de rango admiten límites de rango inclusivos y exclusivos utilizando los caracteres </w:t>
      </w:r>
      <w:r w:rsidDel="00000000" w:rsidR="00000000" w:rsidRPr="00000000">
        <w:rPr>
          <w:b w:val="1"/>
          <w:rtl w:val="0"/>
        </w:rPr>
        <w:t xml:space="preserve">[]</w:t>
      </w:r>
      <w:r w:rsidDel="00000000" w:rsidR="00000000" w:rsidRPr="00000000">
        <w:rPr>
          <w:rtl w:val="0"/>
        </w:rPr>
        <w:t xml:space="preserve"> y</w:t>
      </w:r>
      <w:r w:rsidDel="00000000" w:rsidR="00000000" w:rsidRPr="00000000">
        <w:rPr>
          <w:b w:val="1"/>
          <w:rtl w:val="0"/>
        </w:rPr>
        <w:t xml:space="preserve"> ()</w:t>
      </w:r>
      <w:r w:rsidDel="00000000" w:rsidR="00000000" w:rsidRPr="00000000">
        <w:rPr>
          <w:rtl w:val="0"/>
        </w:rPr>
        <w:t xml:space="preserve"> respectivamente.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ca17r5f40b5m" w:id="22"/>
      <w:bookmarkEnd w:id="22"/>
      <w:r w:rsidDel="00000000" w:rsidR="00000000" w:rsidRPr="00000000">
        <w:rPr>
          <w:rtl w:val="0"/>
        </w:rPr>
        <w:t xml:space="preserve">Exportar una tabla a un archivo .csv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COPY </w:t>
      </w:r>
      <w:r w:rsidDel="00000000" w:rsidR="00000000" w:rsidRPr="00000000">
        <w:rPr>
          <w:b w:val="1"/>
          <w:i w:val="1"/>
          <w:sz w:val="28"/>
          <w:szCs w:val="28"/>
          <w:rtl w:val="0"/>
        </w:rPr>
        <w:t xml:space="preserve">tabla_a_exportar</w:t>
      </w:r>
      <w:r w:rsidDel="00000000" w:rsidR="00000000" w:rsidRPr="00000000">
        <w:rPr>
          <w:b w:val="1"/>
          <w:sz w:val="28"/>
          <w:szCs w:val="28"/>
          <w:rtl w:val="0"/>
        </w:rPr>
        <w:t xml:space="preserve"> TO 'ruta_del_archivo' DELIMITER ',' CSV HEADER;</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pStyle w:val="Heading1"/>
        <w:contextualSpacing w:val="0"/>
        <w:rPr>
          <w:b w:val="1"/>
          <w:sz w:val="28"/>
          <w:szCs w:val="28"/>
        </w:rPr>
      </w:pPr>
      <w:bookmarkStart w:colFirst="0" w:colLast="0" w:name="_zhvbqwy9nitp" w:id="23"/>
      <w:bookmarkEnd w:id="23"/>
      <w:r w:rsidDel="00000000" w:rsidR="00000000" w:rsidRPr="00000000">
        <w:rPr>
          <w:rtl w:val="0"/>
        </w:rPr>
        <w:t xml:space="preserve">Limitar la longitud de lineas largas en las tablas</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\pset format wrapped</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pStyle w:val="Heading1"/>
        <w:contextualSpacing w:val="0"/>
        <w:rPr>
          <w:b w:val="1"/>
          <w:sz w:val="28"/>
          <w:szCs w:val="28"/>
        </w:rPr>
      </w:pPr>
      <w:bookmarkStart w:colFirst="0" w:colLast="0" w:name="_kxggfales8ph" w:id="24"/>
      <w:bookmarkEnd w:id="24"/>
      <w:r w:rsidDel="00000000" w:rsidR="00000000" w:rsidRPr="00000000">
        <w:rPr>
          <w:rtl w:val="0"/>
        </w:rPr>
        <w:t xml:space="preserve">Acceso remoto a PostgreSQL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 el ordenador servidor: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Acceder al fichero </w:t>
      </w:r>
      <w:r w:rsidDel="00000000" w:rsidR="00000000" w:rsidRPr="00000000">
        <w:rPr>
          <w:b w:val="1"/>
          <w:rtl w:val="0"/>
        </w:rPr>
        <w:t xml:space="preserve">/etc/postgresql/9.3/main/pg_hba.conf </w:t>
      </w:r>
      <w:r w:rsidDel="00000000" w:rsidR="00000000" w:rsidRPr="00000000">
        <w:rPr>
          <w:rtl w:val="0"/>
        </w:rPr>
        <w:t xml:space="preserve">con permisos de root.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Añadir una línea que sea del tipo  </w:t>
      </w:r>
      <w:r w:rsidDel="00000000" w:rsidR="00000000" w:rsidRPr="00000000">
        <w:rPr>
          <w:b w:val="1"/>
          <w:rtl w:val="0"/>
        </w:rPr>
        <w:t xml:space="preserve">host all  all  [ip_ordenador_cliente]/32   md5</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Ejecutar la sentencia </w:t>
      </w:r>
      <w:r w:rsidDel="00000000" w:rsidR="00000000" w:rsidRPr="00000000">
        <w:rPr>
          <w:b w:val="1"/>
          <w:rtl w:val="0"/>
        </w:rPr>
        <w:t xml:space="preserve">sudo service postgresql restart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En el ordenador cliente, ejecutar la sentencia </w:t>
      </w:r>
      <w:r w:rsidDel="00000000" w:rsidR="00000000" w:rsidRPr="00000000">
        <w:rPr>
          <w:b w:val="1"/>
          <w:rtl w:val="0"/>
        </w:rPr>
        <w:t xml:space="preserve">psql -h [ip_servidor] -U [nombre_usuario] -d [base_de_datos]</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2.png"/><Relationship Id="rId22" Type="http://schemas.openxmlformats.org/officeDocument/2006/relationships/image" Target="media/image36.png"/><Relationship Id="rId21" Type="http://schemas.openxmlformats.org/officeDocument/2006/relationships/image" Target="media/image9.png"/><Relationship Id="rId24" Type="http://schemas.openxmlformats.org/officeDocument/2006/relationships/image" Target="media/image12.png"/><Relationship Id="rId23"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26" Type="http://schemas.openxmlformats.org/officeDocument/2006/relationships/image" Target="media/image41.png"/><Relationship Id="rId25" Type="http://schemas.openxmlformats.org/officeDocument/2006/relationships/image" Target="media/image18.png"/><Relationship Id="rId5" Type="http://schemas.openxmlformats.org/officeDocument/2006/relationships/image" Target="media/image17.png"/><Relationship Id="rId6" Type="http://schemas.openxmlformats.org/officeDocument/2006/relationships/image" Target="media/image39.png"/><Relationship Id="rId7" Type="http://schemas.openxmlformats.org/officeDocument/2006/relationships/image" Target="media/image38.png"/><Relationship Id="rId8" Type="http://schemas.openxmlformats.org/officeDocument/2006/relationships/image" Target="media/image37.png"/><Relationship Id="rId11" Type="http://schemas.openxmlformats.org/officeDocument/2006/relationships/image" Target="media/image33.png"/><Relationship Id="rId10" Type="http://schemas.openxmlformats.org/officeDocument/2006/relationships/image" Target="media/image35.png"/><Relationship Id="rId13" Type="http://schemas.openxmlformats.org/officeDocument/2006/relationships/image" Target="media/image43.png"/><Relationship Id="rId12" Type="http://schemas.openxmlformats.org/officeDocument/2006/relationships/image" Target="media/image44.png"/><Relationship Id="rId15" Type="http://schemas.openxmlformats.org/officeDocument/2006/relationships/image" Target="media/image8.png"/><Relationship Id="rId14" Type="http://schemas.openxmlformats.org/officeDocument/2006/relationships/image" Target="media/image34.png"/><Relationship Id="rId17" Type="http://schemas.openxmlformats.org/officeDocument/2006/relationships/image" Target="media/image15.png"/><Relationship Id="rId16" Type="http://schemas.openxmlformats.org/officeDocument/2006/relationships/image" Target="media/image10.png"/><Relationship Id="rId19" Type="http://schemas.openxmlformats.org/officeDocument/2006/relationships/image" Target="media/image40.png"/><Relationship Id="rId18" Type="http://schemas.openxmlformats.org/officeDocument/2006/relationships/image" Target="media/image32.png"/></Relationships>
</file>