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color w:val="000000"/>
        </w:rPr>
        <w:t>Проект о внутренней миграции Казахстана</w:t>
      </w:r>
    </w:p>
    <w:p>
      <w:pPr>
        <w:widowControl/>
      </w:pPr>
      <w:r>
        <w:rPr>
          <w:color w:val="000000"/>
        </w:rPr>
        <w:t>Короткое объяснение для защиты · Версия 2</w:t>
      </w:r>
    </w:p>
    <w:p>
      <w:pPr>
        <w:pStyle w:val="Heading1"/>
        <w:pageBreakBefore w:val="0"/>
        <w:widowControl/>
      </w:pPr>
      <w:r>
        <w:rPr>
          <w:color w:val="000000"/>
        </w:rPr>
        <w:t>Что мы хотели узнать</w:t>
      </w:r>
    </w:p>
    <w:p>
      <w:pPr>
        <w:widowControl/>
      </w:pPr>
      <w:r>
        <w:rPr>
          <w:color w:val="000000"/>
        </w:rPr>
        <w:t>Можно ли по показателям региона за прошлый год предсказать, будет ли его внутренняя миграция положительной или отрицательной? Проверили, помогают ли школы, студенты, медицина и жильё дополнить исходные пять показателей.</w:t>
      </w:r>
    </w:p>
    <w:p>
      <w:pPr>
        <w:pStyle w:val="Heading1"/>
        <w:pageBreakBefore w:val="0"/>
        <w:widowControl/>
      </w:pPr>
      <w:r>
        <w:rPr>
          <w:color w:val="000000"/>
        </w:rPr>
        <w:t>Что означает одна строка</w:t>
      </w:r>
    </w:p>
    <w:p>
      <w:pPr>
        <w:widowControl/>
      </w:pPr>
      <w:r>
        <w:rPr>
          <w:color w:val="000000"/>
        </w:rPr>
        <w:t>Один регион в одном году. Положительное сальдо: приехало из других частей Казахстана больше людей, чем уехало. Отрицательное: уехало больше. Мы предсказываем знак, а не точное число людей и не решение отдельного человека.</w:t>
      </w:r>
    </w:p>
    <w:p>
      <w:pPr>
        <w:pStyle w:val="Heading1"/>
        <w:pageBreakBefore w:val="0"/>
        <w:widowControl/>
      </w:pPr>
      <w:r>
        <w:rPr>
          <w:color w:val="000000"/>
        </w:rPr>
        <w:t>Откуда данные и сколько их</w:t>
      </w:r>
    </w:p>
    <w:p>
      <w:pPr>
        <w:widowControl/>
      </w:pPr>
      <w:r>
        <w:rPr>
          <w:color w:val="000000"/>
        </w:rPr>
        <w:t>Двенадцать оригинальных таблиц БНС. В первоначальной панели 240 строк за 2014–2025 годы. После исключений из-за изменения границ и построения показателей прошлого года осталось 164 строки за 2015–2025 годы: 40 положительных и 124 отрицательные. Данные за 2014 год нужны для прогноза 2015 года.</w:t>
      </w:r>
    </w:p>
    <w:p>
      <w:pPr>
        <w:pStyle w:val="Heading1"/>
        <w:pageBreakBefore w:val="0"/>
        <w:widowControl/>
      </w:pPr>
      <w:r>
        <w:rPr>
          <w:color w:val="000000"/>
        </w:rPr>
        <w:t>Какие десять показателей использовали</w:t>
      </w:r>
    </w:p>
    <w:p>
      <w:pPr>
        <w:widowControl/>
      </w:pPr>
      <w:r>
        <w:rPr>
          <w:color w:val="000000"/>
        </w:rPr>
        <w:t>Исходные пять: доход относительно среднего по стране, зарплата относительно средней по стране, безработица, доля городского населения и логарифм численности населения. Добавили школы, студентов вузов, врачей и больничные койки на 10 000 жителей, а также введённую площадь жилья в квадратных метрах на человека.</w:t>
      </w:r>
    </w:p>
    <w:p>
      <w:pPr>
        <w:widowControl/>
      </w:pPr>
      <w:r>
        <w:rPr>
          <w:color w:val="000000"/>
        </w:rPr>
        <w:t>Почему делили на население: иначе крупный регион почти автоматически имел бы больше школ и врачей. Но число школ не показывает качество обучения, а новое жильё не показывает его доступность по цене. Все показатели взяты за предыдущий год; для образования используется начало учебного года.</w:t>
      </w:r>
    </w:p>
    <w:p>
      <w:pPr>
        <w:pStyle w:val="Heading1"/>
        <w:pageBreakBefore w:val="0"/>
        <w:widowControl/>
      </w:pPr>
      <w:r>
        <w:rPr>
          <w:color w:val="000000"/>
        </w:rPr>
        <w:t>Как проверяли модели</w:t>
      </w:r>
    </w:p>
    <w:p>
      <w:pPr>
        <w:widowControl/>
      </w:pPr>
      <w:r>
        <w:rPr>
          <w:color w:val="000000"/>
        </w:rPr>
        <w:t>Обучали на прошлых годах и проверяли следующий. Повторяли для 2019–2025 годов. Например, для проверки 2024 года обучали на 2015–2023; для проверки 2025 — уже на 2015–2024. Для выбора семейства модели использовали только результаты 2019–2023. Настройки после просмотра новых результатов не подбирали.</w:t>
      </w:r>
    </w:p>
    <w:p>
      <w:pPr>
        <w:widowControl/>
      </w:pPr>
      <w:r>
        <w:rPr>
          <w:color w:val="000000"/>
        </w:rPr>
        <w:t>Честное ограничение: мы уже видели 2024–2025 годы в первой работе, поэтому новая версия — дополнительное исследование на знакомых данных, а не независимое подтверждение на новом тесте. Старые проценты из Version 1 нельзя прямо сравнивать с новыми: изменился порядок обучения. Поэтому старые пять признаков тоже пересчитали заново.</w:t>
      </w:r>
    </w:p>
    <w:p>
      <w:pPr>
        <w:pStyle w:val="Heading1"/>
        <w:pageBreakBefore w:val="0"/>
        <w:widowControl/>
      </w:pPr>
      <w:r>
        <w:rPr>
          <w:color w:val="000000"/>
        </w:rPr>
        <w:t>Какие модели и зачем</w:t>
      </w:r>
    </w:p>
    <w:p>
      <w:pPr>
        <w:widowControl/>
      </w:pPr>
      <w:r>
        <w:rPr>
          <w:color w:val="000000"/>
        </w:rPr>
        <w:t>Logistic Regression — простая модель для сравнения. Decision Tree использует последовательность правил; Random Forest объединяет много деревьев; Gradient Boosting строит деревья последовательно, исправляя предыдущие ошибки. Дополнительно проверили два простых способа: всегда выбирать наиболее частый класс и повторять знак миграции прошлого года.</w:t>
      </w:r>
    </w:p>
    <w:p>
      <w:pPr>
        <w:pStyle w:val="Heading1"/>
        <w:pageBreakBefore w:val="0"/>
        <w:widowControl/>
      </w:pPr>
      <w:r>
        <w:rPr>
          <w:color w:val="000000"/>
        </w:rPr>
        <w:t>Главный результат</w:t>
      </w:r>
    </w:p>
    <w:p>
      <w:pPr>
        <w:widowControl/>
      </w:pPr>
      <w:r>
        <w:rPr>
          <w:color w:val="000000"/>
        </w:rPr>
        <w:t>На данных 2024–2025 годов Random Forest с пятью признаками верно определил 36 из 40 случаев, с десятью — 38 из 40. Точность выросла с 90% до 95%. Logistic Regression с десятью признаками дала 90%. Повторение знака прошлого года тоже дало 95%. Значит, новые признаки помогли, но мы не доказали явное преимущество над простым сохранением прошлогоднего знака.</w:t>
      </w:r>
    </w:p>
    <w:p>
      <w:pPr>
        <w:widowControl/>
      </w:pPr>
      <w:r>
        <w:rPr>
          <w:color w:val="000000"/>
        </w:rPr>
        <w:t>В среднем по всем семи проверяемым годам Macro F1 у Random Forest вырос с 0,883 до 0,939. У повторения знака — 0,938; разница очень мала. По средней точности повторение знака чуть выше: 95,8% против 95,5%. Нельзя утверждать, что одна модель уверенно победила по всем показателям.</w:t>
      </w:r>
    </w:p>
    <w:p>
      <w:pPr>
        <w:pStyle w:val="Heading1"/>
        <w:pageBreakBefore w:val="0"/>
        <w:widowControl/>
      </w:pPr>
      <w:r>
        <w:rPr>
          <w:color w:val="000000"/>
        </w:rPr>
        <w:t>Какие показатели полезнее</w:t>
      </w:r>
    </w:p>
    <w:p>
      <w:pPr>
        <w:widowControl/>
      </w:pPr>
      <w:r>
        <w:rPr>
          <w:color w:val="000000"/>
        </w:rPr>
        <w:t>Группа образования дала наибольшую важность при перемешивании. Из отдельных показателей сильнее всего использовалась плотность школ. Это может отражать различие между сельскими и городскими регионами. Мы не доказали, что строительство школы само по себе вызывает миграцию.</w:t>
      </w:r>
    </w:p>
    <w:p>
      <w:pPr>
        <w:pStyle w:val="Heading1"/>
        <w:pageBreakBefore w:val="0"/>
        <w:widowControl/>
      </w:pPr>
      <w:r>
        <w:rPr>
          <w:color w:val="000000"/>
        </w:rPr>
        <w:t>Что такое SHAP простыми словами</w:t>
      </w:r>
    </w:p>
    <w:p>
      <w:pPr>
        <w:widowControl/>
      </w:pPr>
      <w:r>
        <w:rPr>
          <w:color w:val="000000"/>
        </w:rPr>
        <w:t>SHAP показывает, как модель распределяет отличие своего прогноза от обычного уровня между входными показателями. Это объяснение вычисления модели. Мы объяснили 20 случаев за 2023 год; для обычного уровня использовали только более ранние данные. Проверили, что сумма вкладов действительно даёт рассчитанную вероятность.</w:t>
      </w:r>
    </w:p>
    <w:p>
      <w:pPr>
        <w:pStyle w:val="Heading1"/>
        <w:pageBreakBefore w:val="0"/>
        <w:widowControl/>
      </w:pPr>
      <w:r>
        <w:rPr>
          <w:color w:val="000000"/>
        </w:rPr>
        <w:t>Какие ошибки остались</w:t>
      </w:r>
    </w:p>
    <w:p>
      <w:pPr>
        <w:widowControl/>
      </w:pPr>
      <w:r>
        <w:rPr>
          <w:color w:val="000000"/>
        </w:rPr>
        <w:t>У расширенного Random Forest две ошибки в 2024–2025 годах: Алматинская область в 2024 и Акмолинская область в 2025. В обоих случаях положительное сальдо было предсказано как отрицательное. Случаи Атырау за 2024 и Алматинской области за 2025, ошибочные у исходных пяти признаков, новая модель определила правильно.</w:t>
      </w:r>
    </w:p>
    <w:p>
      <w:pPr>
        <w:pStyle w:val="Heading1"/>
        <w:pageBreakBefore w:val="0"/>
        <w:widowControl/>
      </w:pPr>
      <w:r>
        <w:rPr>
          <w:color w:val="000000"/>
        </w:rPr>
        <w:t>Как объяснить метрики</w:t>
      </w:r>
    </w:p>
    <w:p>
      <w:pPr>
        <w:widowControl/>
      </w:pPr>
      <w:r>
        <w:rPr>
          <w:color w:val="000000"/>
        </w:rPr>
        <w:t>Accuracy — доля правильных ответов. Precision — сколько предсказанных положительных случаев действительно положительные. Recall — какую долю всех положительных случаев нашли. Macro F1 даёт одинаковое значение обоим классам, поэтому полезен при их неравном количестве.</w:t>
      </w:r>
    </w:p>
    <w:p>
      <w:pPr>
        <w:pStyle w:val="Heading1"/>
        <w:pageBreakBefore w:val="0"/>
        <w:widowControl/>
      </w:pPr>
      <w:r>
        <w:rPr>
          <w:color w:val="000000"/>
        </w:rPr>
        <w:t>Что показать преподавателю</w:t>
      </w:r>
    </w:p>
    <w:p>
      <w:pPr>
        <w:widowControl/>
      </w:pPr>
      <w:r>
        <w:rPr>
          <w:color w:val="000000"/>
        </w:rPr>
        <w:t>В GitHub открой README, затем Assignment3_V2.ipynb. В Colab сначала запусти ячейку настройки, затем все остальные. Покажи источник школы, таблицу датасета, порядок обучения по годам, сравнение пяти и десяти признаков, результаты и проверки PASS. Не нужно самостоятельно запускать вспомогательный build_core_dataset.py.</w:t>
      </w:r>
    </w:p>
    <w:p>
      <w:pPr>
        <w:widowControl/>
      </w:pPr>
      <w:hyperlink r:id="rId10">
        <w:r>
          <w:rPr>
            <w:u w:val="single"/>
            <w:color w:val="000000"/>
          </w:rPr>
          <w:t>https://github.com/aluasagyndyk2/kazakhstan-internal-migration-ml</w:t>
        </w:r>
      </w:hyperlink>
    </w:p>
    <w:p>
      <w:pPr>
        <w:pStyle w:val="Heading1"/>
        <w:pageBreakBefore w:val="0"/>
        <w:widowControl/>
      </w:pPr>
      <w:r>
        <w:rPr>
          <w:color w:val="000000"/>
        </w:rPr>
        <w:t>Короткий ответ на защите</w:t>
      </w:r>
    </w:p>
    <w:p>
      <w:pPr>
        <w:widowControl/>
      </w:pPr>
      <w:r>
        <w:rPr>
          <w:color w:val="000000"/>
        </w:rPr>
        <w:t>«Мы сравнили прогноз знака внутренней миграции по пяти и десяти показателям прошлого года. Новые признаки описывают образование, здравоохранение и жильё. Использовали официальные данные БНС, одинаковую выборку и проверку по годам. Random Forest с новыми признаками достиг 95% на срезе 2024–2025 годов, но повторение прошлогоднего знака показало столько же. Поэтому вывод осторожный: дополнительные признаки полезны в этом сравнении, но не доказывают причин миграции или универсального преимущества модели».</w:t>
      </w:r>
    </w:p>
    <w:sectPr w:rsidR="00FC693F" w:rsidRPr="0006063C" w:rsidSect="00034616">
      <w:footerReference w:type="default" r:id="rId9"/>
      <w:pgSz w:w="11952" w:h="1684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10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</w:pPr>
    <w:rPr>
      <w:rFonts w:ascii="Times New Roman" w:hAnsi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luasagyndyk2/kazakhstan-internal-migration-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