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80" w:before="0"/>
        <w:jc w:val="center"/>
      </w:pPr>
      <w:r>
        <w:rPr>
          <w:rFonts w:ascii="Arial" w:cs="Arial" w:eastAsia="Arial" w:hAnsi="Arial"/>
          <w:b/>
          <w:bCs/>
          <w:color w:val="C0541A"/>
          <w:sz w:val="36"/>
          <w:szCs w:val="36"/>
        </w:rPr>
        <w:t xml:space="preserve">ADVANCED CUSTOM CABINETS</w:t>
      </w:r>
    </w:p>
    <w:p>
      <w:pPr>
        <w:spacing w:after="60" w:before="0"/>
        <w:jc w:val="center"/>
      </w:pPr>
      <w:r>
        <w:rPr>
          <w:rFonts w:ascii="Arial" w:cs="Arial" w:eastAsia="Arial" w:hAnsi="Arial"/>
          <w:b/>
          <w:bCs/>
          <w:color w:val="1A1A1A"/>
          <w:sz w:val="28"/>
          <w:szCs w:val="28"/>
        </w:rPr>
        <w:t xml:space="preserve">Residential Disclosure Agreement</w:t>
      </w:r>
    </w:p>
    <w:p>
      <w:pPr>
        <w:spacing w:after="240" w:before="0"/>
        <w:jc w:val="center"/>
      </w:pPr>
      <w:r>
        <w:rPr>
          <w:rFonts w:ascii="Arial" w:cs="Arial" w:eastAsia="Arial" w:hAnsi="Arial"/>
          <w:b/>
          <w:bCs/>
          <w:color w:val="CC0000"/>
          <w:sz w:val="18"/>
          <w:szCs w:val="18"/>
          <w:u w:val="single"/>
        </w:rPr>
        <w:t xml:space="preserve">ATTORNEY REVIEW DRAFT — NOT FOR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555555"/>
                <w:sz w:val="16"/>
                <w:szCs w:val="16"/>
              </w:rPr>
              <w:t xml:space="preserve">CLIENT NAME</w:t>
            </w:r>
          </w:p>
          <w:p>
            <w:pPr>
              <w:spacing w:before="60"/>
            </w:pPr>
            <w:r>
              <w:rPr>
                <w:rFonts w:ascii="Arial" w:cs="Arial" w:eastAsia="Arial" w:hAnsi="Arial"/>
                <w:color w:val="1A1A1A"/>
                <w:sz w:val="20"/>
                <w:szCs w:val="20"/>
              </w:rPr>
              <w:t xml:space="preserve">_________________________</w:t>
            </w:r>
          </w:p>
        </w:tc>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555555"/>
                <w:sz w:val="16"/>
                <w:szCs w:val="16"/>
              </w:rPr>
              <w:t xml:space="preserve">JOB / SITE ADDRESS</w:t>
            </w:r>
          </w:p>
          <w:p>
            <w:pPr>
              <w:spacing w:before="60"/>
            </w:pPr>
            <w:r>
              <w:rPr>
                <w:rFonts w:ascii="Arial" w:cs="Arial" w:eastAsia="Arial" w:hAnsi="Arial"/>
                <w:color w:val="1A1A1A"/>
                <w:sz w:val="20"/>
                <w:szCs w:val="20"/>
              </w:rPr>
              <w:t xml:space="preserve">_________________________</w:t>
            </w:r>
          </w:p>
        </w:tc>
      </w:tr>
      <w:tr>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555555"/>
                <w:sz w:val="16"/>
                <w:szCs w:val="16"/>
              </w:rPr>
              <w:t xml:space="preserve">ACC JOB NUMBER</w:t>
            </w:r>
          </w:p>
          <w:p>
            <w:pPr>
              <w:spacing w:before="60"/>
            </w:pPr>
            <w:r>
              <w:rPr>
                <w:rFonts w:ascii="Arial" w:cs="Arial" w:eastAsia="Arial" w:hAnsi="Arial"/>
                <w:color w:val="1A1A1A"/>
                <w:sz w:val="20"/>
                <w:szCs w:val="20"/>
              </w:rPr>
              <w:t xml:space="preserve">_________________________</w:t>
            </w:r>
          </w:p>
        </w:tc>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555555"/>
                <w:sz w:val="16"/>
                <w:szCs w:val="16"/>
              </w:rPr>
              <w:t xml:space="preserve">DATE OF AGREEMENT</w:t>
            </w:r>
          </w:p>
          <w:p>
            <w:pPr>
              <w:spacing w:before="60"/>
            </w:pPr>
            <w:r>
              <w:rPr>
                <w:rFonts w:ascii="Arial" w:cs="Arial" w:eastAsia="Arial" w:hAnsi="Arial"/>
                <w:color w:val="1A1A1A"/>
                <w:sz w:val="20"/>
                <w:szCs w:val="20"/>
              </w:rPr>
              <w:t xml:space="preserve">_________________________</w:t>
            </w:r>
          </w:p>
        </w:tc>
      </w:tr>
    </w:tbl>
    <w:p>
      <w:pPr>
        <w:spacing w:after="200" w:before="0"/>
      </w:pPr>
      <w:r>
        <w:t xml:space="preserve"/>
      </w:r>
    </w:p>
    <w:p>
      <w:pPr>
        <w:pStyle w:val="Heading1"/>
        <w:pBdr>
          <w:bottom w:val="single" w:color="C0541A" w:sz="8" w:space="6"/>
        </w:pBdr>
        <w:spacing w:after="120" w:before="320"/>
      </w:pPr>
      <w:r>
        <w:rPr>
          <w:rFonts w:ascii="Arial" w:cs="Arial" w:eastAsia="Arial" w:hAnsi="Arial"/>
          <w:b/>
          <w:bCs/>
          <w:color w:val="1A1A1A"/>
          <w:sz w:val="26"/>
          <w:szCs w:val="26"/>
        </w:rPr>
        <w:t xml:space="preserve">1.  Right of Rescission (3-Day Cancellation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41A" w:sz="6"/>
              <w:left w:val="single" w:color="C0541A" w:sz="6"/>
              <w:bottom w:val="single" w:color="C0541A" w:sz="6"/>
              <w:right w:val="single" w:color="C0541A" w:sz="6"/>
            </w:tcBorders>
            <w:shd w:fill="FEF6EE" w:val="clear"/>
            <w:tcMar>
              <w:top w:type="dxa" w:w="160"/>
              <w:left w:type="dxa" w:w="200"/>
              <w:bottom w:type="dxa" w:w="160"/>
              <w:right w:type="dxa" w:w="200"/>
            </w:tcMar>
          </w:tcPr>
          <w:p>
            <w:pPr>
              <w:spacing w:after="80" w:before="0"/>
            </w:pPr>
            <w:r>
              <w:rPr>
                <w:rFonts w:ascii="Arial" w:cs="Arial" w:eastAsia="Arial" w:hAnsi="Arial"/>
                <w:b/>
                <w:bCs/>
                <w:color w:val="C0541A"/>
                <w:sz w:val="22"/>
                <w:szCs w:val="22"/>
              </w:rPr>
              <w:t xml:space="preserve">YOUR RIGHT TO CANCEL</w:t>
            </w:r>
          </w:p>
          <w:p>
            <w:pPr>
              <w:spacing w:after="60" w:before="60"/>
            </w:pPr>
            <w:r>
              <w:rPr>
                <w:rFonts w:ascii="Arial" w:cs="Arial" w:eastAsia="Arial" w:hAnsi="Arial"/>
                <w:color w:val="1A1A1A"/>
                <w:sz w:val="20"/>
                <w:szCs w:val="20"/>
              </w:rPr>
              <w:t xml:space="preserve">You may cancel this agreement without penalty or obligation within THREE (3) BUSINESS DAYS</w:t>
            </w:r>
          </w:p>
          <w:p>
            <w:pPr>
              <w:spacing w:after="60" w:before="60"/>
            </w:pPr>
            <w:r>
              <w:rPr>
                <w:rFonts w:ascii="Arial" w:cs="Arial" w:eastAsia="Arial" w:hAnsi="Arial"/>
                <w:color w:val="1A1A1A"/>
                <w:sz w:val="20"/>
                <w:szCs w:val="20"/>
              </w:rPr>
              <w:t xml:space="preserve">from the date of this agreement or the date you receive this disclosure, whichever is later.</w:t>
            </w:r>
          </w:p>
          <w:p>
            <w:pPr>
              <w:spacing w:after="60" w:before="6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To cancel, deliver written notice to Advanced Custom Cabinets by:</w:t>
            </w:r>
          </w:p>
          <w:p>
            <w:pPr>
              <w:spacing w:after="60" w:before="60"/>
            </w:pPr>
            <w:r>
              <w:rPr>
                <w:rFonts w:ascii="Arial" w:cs="Arial" w:eastAsia="Arial" w:hAnsi="Arial"/>
                <w:color w:val="1A1A1A"/>
                <w:sz w:val="20"/>
                <w:szCs w:val="20"/>
              </w:rPr>
              <w:t xml:space="preserve">  •  Hand delivery to our office</w:t>
            </w:r>
          </w:p>
          <w:p>
            <w:pPr>
              <w:spacing w:after="60" w:before="60"/>
            </w:pPr>
            <w:r>
              <w:rPr>
                <w:rFonts w:ascii="Arial" w:cs="Arial" w:eastAsia="Arial" w:hAnsi="Arial"/>
                <w:color w:val="1A1A1A"/>
                <w:sz w:val="20"/>
                <w:szCs w:val="20"/>
              </w:rPr>
              <w:t xml:space="preserve">  •  Email to: [COMPANY EMAIL] — ATTORNEY: confirm email address</w:t>
            </w:r>
          </w:p>
          <w:p>
            <w:pPr>
              <w:spacing w:after="60" w:before="60"/>
            </w:pPr>
            <w:r>
              <w:rPr>
                <w:rFonts w:ascii="Arial" w:cs="Arial" w:eastAsia="Arial" w:hAnsi="Arial"/>
                <w:color w:val="1A1A1A"/>
                <w:sz w:val="20"/>
                <w:szCs w:val="20"/>
              </w:rPr>
              <w:t xml:space="preserve">  •  U.S. Mail (postmarked on or before the cancellation deadline)</w:t>
            </w:r>
          </w:p>
          <w:p>
            <w:pPr>
              <w:spacing w:after="60" w:before="6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Address: [COMPANY ADDRESS] — ATTORNEY: confirm mailing address</w:t>
            </w:r>
          </w:p>
          <w:p>
            <w:pPr>
              <w:spacing w:after="60" w:before="6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If you cancel, any payments made will be returned within 10 business days.</w:t>
            </w:r>
          </w:p>
        </w:tc>
      </w:tr>
    </w:tbl>
    <w:p>
      <w:pPr>
        <w:spacing w:after="80" w:before="0"/>
      </w:pPr>
      <w:r>
        <w:t xml:space="preserve"/>
      </w:r>
    </w:p>
    <w:p>
      <w:pPr>
        <w:spacing w:after="80" w:before="80"/>
      </w:pPr>
      <w:r>
        <w:rPr>
          <w:rFonts w:ascii="Arial" w:cs="Arial" w:eastAsia="Arial" w:hAnsi="Arial"/>
          <w:color w:val="1A1A1A"/>
          <w:sz w:val="20"/>
          <w:szCs w:val="20"/>
        </w:rPr>
        <w:t xml:space="preserve">This right of rescission is provided pursuant to the Federal Trade Commission's Cooling-Off Rule (16 C.F.R. Part 429) for contracts signed in your home or at a location other than our permanent business address. This right does not apply if you initialed the waiver below requesting immediate commencement of work.</w:t>
      </w:r>
    </w:p>
    <w:p>
      <w:pPr>
        <w:spacing w:after="80" w:before="0"/>
      </w:pPr>
      <w:r>
        <w:t xml:space="preserve"/>
      </w:r>
    </w:p>
    <w:p>
      <w:pPr>
        <w:spacing w:after="80" w:before="80"/>
      </w:pPr>
      <w:r>
        <w:rPr>
          <w:rFonts w:ascii="Arial" w:cs="Arial" w:eastAsia="Arial" w:hAnsi="Arial"/>
          <w:b/>
          <w:bCs/>
          <w:color w:val="1A1A1A"/>
          <w:sz w:val="20"/>
          <w:szCs w:val="20"/>
        </w:rPr>
        <w:t xml:space="preserve">Waiver of Rescission (OPTIONAL):  </w:t>
      </w:r>
      <w:r>
        <w:rPr>
          <w:rFonts w:ascii="Arial" w:cs="Arial" w:eastAsia="Arial" w:hAnsi="Arial"/>
          <w:color w:val="1A1A1A"/>
          <w:sz w:val="20"/>
          <w:szCs w:val="20"/>
        </w:rPr>
        <w:t xml:space="preserve">If you wish to waive your right of cancellation and authorize work to begin immediately, initial here:  ________  By initialing, you acknowledge that if you then cancel, you may be responsible for reasonable costs incurred to date.</w:t>
      </w:r>
    </w:p>
    <w:p>
      <w:pPr>
        <w:spacing w:after="120" w:before="0"/>
      </w:pPr>
      <w:r>
        <w:t xml:space="preserve"/>
      </w:r>
    </w:p>
    <w:p>
      <w:pPr>
        <w:pStyle w:val="Heading1"/>
        <w:pBdr>
          <w:bottom w:val="single" w:color="C0541A" w:sz="8" w:space="6"/>
        </w:pBdr>
        <w:spacing w:after="120" w:before="320"/>
      </w:pPr>
      <w:r>
        <w:rPr>
          <w:rFonts w:ascii="Arial" w:cs="Arial" w:eastAsia="Arial" w:hAnsi="Arial"/>
          <w:b/>
          <w:bCs/>
          <w:color w:val="1A1A1A"/>
          <w:sz w:val="26"/>
          <w:szCs w:val="26"/>
        </w:rPr>
        <w:t xml:space="preserve">2.  Idaho Contractor Registration</w:t>
      </w:r>
    </w:p>
    <w:p>
      <w:pPr>
        <w:spacing w:after="80" w:before="80"/>
      </w:pPr>
      <w:r>
        <w:rPr>
          <w:rFonts w:ascii="Arial" w:cs="Arial" w:eastAsia="Arial" w:hAnsi="Arial"/>
          <w:color w:val="1A1A1A"/>
          <w:sz w:val="20"/>
          <w:szCs w:val="20"/>
        </w:rPr>
        <w:t xml:space="preserve">Advanced Custom Cabinets is registered as a contractor with the State of Idaho as required by the Idaho Contractor Registration Act (Idaho Code § 54-5201 et seq.). Idaho law requires that we provide you this disclosure before entering into any contract for home improvement work exceeding $2,000.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1A1A1A"/>
                <w:sz w:val="20"/>
                <w:szCs w:val="20"/>
              </w:rPr>
              <w:t xml:space="preserve">Registration Number</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1A1A1A"/>
                <w:sz w:val="20"/>
                <w:szCs w:val="20"/>
              </w:rPr>
              <w:t xml:space="preserve">[REGISTRATION NUMBER] — ATTORNEY: verify and insert</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1A1A1A"/>
                <w:sz w:val="20"/>
                <w:szCs w:val="20"/>
              </w:rPr>
              <w:t xml:space="preserve">Company Name</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0"/>
                <w:szCs w:val="20"/>
              </w:rPr>
              <w:t xml:space="preserve">Advanced Custom Cabinets</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1A1A1A"/>
                <w:sz w:val="20"/>
                <w:szCs w:val="20"/>
              </w:rPr>
              <w:t xml:space="preserve">Business Address</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1A1A1A"/>
                <w:sz w:val="20"/>
                <w:szCs w:val="20"/>
              </w:rPr>
              <w:t xml:space="preserve">[STREET ADDRESS, CITY, STATE, ZIP] — ATTORNEY: confirm</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1A1A1A"/>
                <w:sz w:val="20"/>
                <w:szCs w:val="20"/>
              </w:rPr>
              <w:t xml:space="preserve">Insurance Carrier</w:t>
            </w:r>
          </w:p>
        </w:tc>
        <w:tc>
          <w:tcPr>
            <w:tcW w:type="dxa" w:w="62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1A1A1A"/>
                <w:sz w:val="20"/>
                <w:szCs w:val="20"/>
              </w:rPr>
              <w:t xml:space="preserve">[INSURANCE CARRIER &amp; POLICY NUMBER] — ATTORNEY: confirm</w:t>
            </w:r>
          </w:p>
        </w:tc>
      </w:tr>
    </w:tbl>
    <w:p>
      <w:pPr>
        <w:spacing w:after="120" w:before="0"/>
      </w:pPr>
      <w:r>
        <w:t xml:space="preserve"/>
      </w:r>
    </w:p>
    <w:p>
      <w:pPr>
        <w:pStyle w:val="Heading1"/>
        <w:pBdr>
          <w:bottom w:val="single" w:color="C0541A" w:sz="8" w:space="6"/>
        </w:pBdr>
        <w:spacing w:after="120" w:before="320"/>
      </w:pPr>
      <w:r>
        <w:rPr>
          <w:rFonts w:ascii="Arial" w:cs="Arial" w:eastAsia="Arial" w:hAnsi="Arial"/>
          <w:b/>
          <w:bCs/>
          <w:color w:val="1A1A1A"/>
          <w:sz w:val="26"/>
          <w:szCs w:val="26"/>
        </w:rPr>
        <w:t xml:space="preserve">3.  Lien Rights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41A" w:sz="6"/>
              <w:left w:val="single" w:color="C0541A" w:sz="6"/>
              <w:bottom w:val="single" w:color="C0541A" w:sz="6"/>
              <w:right w:val="single" w:color="C0541A" w:sz="6"/>
            </w:tcBorders>
            <w:shd w:fill="FEF6EE" w:val="clear"/>
            <w:tcMar>
              <w:top w:type="dxa" w:w="160"/>
              <w:left w:type="dxa" w:w="200"/>
              <w:bottom w:type="dxa" w:w="160"/>
              <w:right w:type="dxa" w:w="200"/>
            </w:tcMar>
          </w:tcPr>
          <w:p>
            <w:pPr>
              <w:spacing w:after="80" w:before="0"/>
            </w:pPr>
            <w:r>
              <w:rPr>
                <w:rFonts w:ascii="Arial" w:cs="Arial" w:eastAsia="Arial" w:hAnsi="Arial"/>
                <w:b/>
                <w:bCs/>
                <w:color w:val="C0541A"/>
                <w:sz w:val="22"/>
                <w:szCs w:val="22"/>
              </w:rPr>
              <w:t xml:space="preserve">IMPORTANT NOTICE ABOUT LIEN RIGHTS — PLEASE READ</w:t>
            </w:r>
          </w:p>
          <w:p>
            <w:pPr>
              <w:spacing w:after="60" w:before="60"/>
            </w:pPr>
            <w:r>
              <w:rPr>
                <w:rFonts w:ascii="Arial" w:cs="Arial" w:eastAsia="Arial" w:hAnsi="Arial"/>
                <w:color w:val="1A1A1A"/>
                <w:sz w:val="20"/>
                <w:szCs w:val="20"/>
              </w:rPr>
              <w:t xml:space="preserve">Any contractor, subcontractor, or material supplier who provides labor or materials for</w:t>
            </w:r>
          </w:p>
          <w:p>
            <w:pPr>
              <w:spacing w:after="60" w:before="60"/>
            </w:pPr>
            <w:r>
              <w:rPr>
                <w:rFonts w:ascii="Arial" w:cs="Arial" w:eastAsia="Arial" w:hAnsi="Arial"/>
                <w:color w:val="1A1A1A"/>
                <w:sz w:val="20"/>
                <w:szCs w:val="20"/>
              </w:rPr>
              <w:t xml:space="preserve">the improvement of your property may have a right to file a lien against your property</w:t>
            </w:r>
          </w:p>
          <w:p>
            <w:pPr>
              <w:spacing w:after="60" w:before="60"/>
            </w:pPr>
            <w:r>
              <w:rPr>
                <w:rFonts w:ascii="Arial" w:cs="Arial" w:eastAsia="Arial" w:hAnsi="Arial"/>
                <w:color w:val="1A1A1A"/>
                <w:sz w:val="20"/>
                <w:szCs w:val="20"/>
              </w:rPr>
              <w:t xml:space="preserve">if they are not paid. A lien can result in you paying twice for the same work.</w:t>
            </w:r>
          </w:p>
          <w:p>
            <w:pPr>
              <w:spacing w:after="60" w:before="6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Under Idaho Code § 45-501 et seq., if Advanced Custom Cabinets or any of its material</w:t>
            </w:r>
          </w:p>
          <w:p>
            <w:pPr>
              <w:spacing w:after="60" w:before="60"/>
            </w:pPr>
            <w:r>
              <w:rPr>
                <w:rFonts w:ascii="Arial" w:cs="Arial" w:eastAsia="Arial" w:hAnsi="Arial"/>
                <w:color w:val="1A1A1A"/>
                <w:sz w:val="20"/>
                <w:szCs w:val="20"/>
              </w:rPr>
              <w:t xml:space="preserve">suppliers are not paid in full, a mechanic's or materialman's lien may be placed on your</w:t>
            </w:r>
          </w:p>
          <w:p>
            <w:pPr>
              <w:spacing w:after="60" w:before="60"/>
            </w:pPr>
            <w:r>
              <w:rPr>
                <w:rFonts w:ascii="Arial" w:cs="Arial" w:eastAsia="Arial" w:hAnsi="Arial"/>
                <w:color w:val="1A1A1A"/>
                <w:sz w:val="20"/>
                <w:szCs w:val="20"/>
              </w:rPr>
              <w:t xml:space="preserve">property. This lien could affect your ability to sell or refinance your home.</w:t>
            </w:r>
          </w:p>
          <w:p>
            <w:pPr>
              <w:spacing w:after="60" w:before="6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To protect yourself:</w:t>
            </w:r>
          </w:p>
          <w:p>
            <w:pPr>
              <w:spacing w:after="60" w:before="60"/>
            </w:pPr>
            <w:r>
              <w:rPr>
                <w:rFonts w:ascii="Arial" w:cs="Arial" w:eastAsia="Arial" w:hAnsi="Arial"/>
                <w:color w:val="1A1A1A"/>
                <w:sz w:val="20"/>
                <w:szCs w:val="20"/>
              </w:rPr>
              <w:t xml:space="preserve">  •  Make all payments by check or credit card — never cash</w:t>
            </w:r>
          </w:p>
          <w:p>
            <w:pPr>
              <w:spacing w:after="60" w:before="60"/>
            </w:pPr>
            <w:r>
              <w:rPr>
                <w:rFonts w:ascii="Arial" w:cs="Arial" w:eastAsia="Arial" w:hAnsi="Arial"/>
                <w:color w:val="1A1A1A"/>
                <w:sz w:val="20"/>
                <w:szCs w:val="20"/>
              </w:rPr>
              <w:t xml:space="preserve">  •  Obtain lien waivers from ACC before or upon making each payment</w:t>
            </w:r>
          </w:p>
          <w:p>
            <w:pPr>
              <w:spacing w:after="60" w:before="60"/>
            </w:pPr>
            <w:r>
              <w:rPr>
                <w:rFonts w:ascii="Arial" w:cs="Arial" w:eastAsia="Arial" w:hAnsi="Arial"/>
                <w:color w:val="1A1A1A"/>
                <w:sz w:val="20"/>
                <w:szCs w:val="20"/>
              </w:rPr>
              <w:t xml:space="preserve">  •  Do not make final payment until you have confirmed all suppliers are paid</w:t>
            </w:r>
          </w:p>
        </w:tc>
      </w:tr>
    </w:tbl>
    <w:p>
      <w:pPr>
        <w:spacing w:after="80" w:before="0"/>
      </w:pPr>
      <w:r>
        <w:t xml:space="preserve"/>
      </w:r>
    </w:p>
    <w:p>
      <w:pPr>
        <w:spacing w:after="80" w:before="80"/>
      </w:pPr>
      <w:r>
        <w:rPr>
          <w:rFonts w:ascii="Arial" w:cs="Arial" w:eastAsia="Arial" w:hAnsi="Arial"/>
          <w:color w:val="1A1A1A"/>
          <w:sz w:val="20"/>
          <w:szCs w:val="20"/>
        </w:rPr>
        <w:t xml:space="preserve">ATTORNEY NOTE: Review whether Idaho requires a specific statutory lien notice form for residential contracts. If so, replace or supplement the notice above with the required statutory language.</w:t>
      </w:r>
    </w:p>
    <w:p>
      <w:pPr>
        <w:spacing w:after="120" w:before="0"/>
      </w:pPr>
      <w:r>
        <w:t xml:space="preserve"/>
      </w:r>
    </w:p>
    <w:p>
      <w:pPr>
        <w:pStyle w:val="Heading1"/>
        <w:pBdr>
          <w:bottom w:val="single" w:color="C0541A" w:sz="8" w:space="6"/>
        </w:pBdr>
        <w:spacing w:after="120" w:before="320"/>
      </w:pPr>
      <w:r>
        <w:rPr>
          <w:rFonts w:ascii="Arial" w:cs="Arial" w:eastAsia="Arial" w:hAnsi="Arial"/>
          <w:b/>
          <w:bCs/>
          <w:color w:val="1A1A1A"/>
          <w:sz w:val="26"/>
          <w:szCs w:val="26"/>
        </w:rPr>
        <w:t xml:space="preserve">4.  Payment Terms</w:t>
      </w:r>
    </w:p>
    <w:p>
      <w:pPr>
        <w:spacing w:after="80" w:before="80"/>
      </w:pPr>
      <w:r>
        <w:rPr>
          <w:rFonts w:ascii="Arial" w:cs="Arial" w:eastAsia="Arial" w:hAnsi="Arial"/>
          <w:color w:val="1A1A1A"/>
          <w:sz w:val="20"/>
          <w:szCs w:val="20"/>
        </w:rPr>
        <w:t xml:space="preserve">The following payment schedule applies to this agreement. All amounts are due as specified; failure to make timely payments may result in suspension of work, additional charges, or cancellation of the agreement.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DDDDD" w:sz="1"/>
              <w:left w:val="single" w:color="DDDDDD" w:sz="1"/>
              <w:bottom w:val="single" w:color="DDDDDD" w:sz="1"/>
              <w:right w:val="single" w:color="DDDDDD" w:sz="1"/>
            </w:tcBorders>
            <w:shd w:fill="C0541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c>
          <w:tcPr>
            <w:tcW w:type="dxa" w:w="2880"/>
            <w:tcBorders>
              <w:top w:val="single" w:color="DDDDDD" w:sz="1"/>
              <w:left w:val="single" w:color="DDDDDD" w:sz="1"/>
              <w:bottom w:val="single" w:color="DDDDDD" w:sz="1"/>
              <w:right w:val="single" w:color="DDDDDD" w:sz="1"/>
            </w:tcBorders>
            <w:shd w:fill="C0541A" w:val="clear"/>
            <w:tcMar>
              <w:top w:type="dxa" w:w="100"/>
              <w:left w:type="dxa" w:w="160"/>
              <w:bottom w:type="dxa" w:w="100"/>
              <w:right w:type="dxa" w:w="160"/>
            </w:tcMar>
          </w:tcPr>
          <w:p>
            <w:r>
              <w:rPr>
                <w:rFonts w:ascii="Arial" w:cs="Arial" w:eastAsia="Arial" w:hAnsi="Arial"/>
                <w:b/>
                <w:bCs/>
                <w:color w:val="FFFFFF"/>
                <w:sz w:val="18"/>
                <w:szCs w:val="18"/>
              </w:rPr>
              <w:t xml:space="preserve">AMOUNT / PERCENTAGE</w:t>
            </w:r>
          </w:p>
        </w:tc>
        <w:tc>
          <w:tcPr>
            <w:tcW w:type="dxa" w:w="2880"/>
            <w:tcBorders>
              <w:top w:val="single" w:color="DDDDDD" w:sz="1"/>
              <w:left w:val="single" w:color="DDDDDD" w:sz="1"/>
              <w:bottom w:val="single" w:color="DDDDDD" w:sz="1"/>
              <w:right w:val="single" w:color="DDDDDD" w:sz="1"/>
            </w:tcBorders>
            <w:shd w:fill="C0541A" w:val="clear"/>
            <w:tcMar>
              <w:top w:type="dxa" w:w="100"/>
              <w:left w:type="dxa" w:w="160"/>
              <w:bottom w:type="dxa" w:w="100"/>
              <w:right w:type="dxa" w:w="160"/>
            </w:tcMar>
          </w:tcPr>
          <w:p>
            <w:r>
              <w:rPr>
                <w:rFonts w:ascii="Arial" w:cs="Arial" w:eastAsia="Arial" w:hAnsi="Arial"/>
                <w:b/>
                <w:bCs/>
                <w:color w:val="FFFFFF"/>
                <w:sz w:val="18"/>
                <w:szCs w:val="18"/>
              </w:rPr>
              <w:t xml:space="preserve">DUE WHEN</w:t>
            </w:r>
          </w:p>
        </w:tc>
      </w:tr>
      <w:tr>
        <w:tc>
          <w:tcPr>
            <w:tcW w:type="dxa" w:w="36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1A1A1A"/>
                <w:sz w:val="20"/>
                <w:szCs w:val="20"/>
              </w:rPr>
              <w:t xml:space="preserve">Deposit</w:t>
            </w:r>
          </w:p>
        </w:tc>
        <w:tc>
          <w:tcPr>
            <w:tcW w:type="dxa" w:w="28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1A1A1A"/>
                <w:sz w:val="20"/>
                <w:szCs w:val="20"/>
              </w:rPr>
              <w:t xml:space="preserve">[__]% of contract total</w:t>
            </w:r>
          </w:p>
        </w:tc>
        <w:tc>
          <w:tcPr>
            <w:tcW w:type="dxa" w:w="28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1A1A1A"/>
                <w:sz w:val="20"/>
                <w:szCs w:val="20"/>
              </w:rPr>
              <w:t xml:space="preserve">Upon signing this agreement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Production Release</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[__]% of contract total</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Upon engineering approval / before production begins</w:t>
            </w:r>
          </w:p>
        </w:tc>
      </w:tr>
      <w:tr>
        <w:tc>
          <w:tcPr>
            <w:tcW w:type="dxa" w:w="360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1A1A1A"/>
                <w:sz w:val="20"/>
                <w:szCs w:val="20"/>
              </w:rPr>
              <w:t xml:space="preserve">Delivery</w:t>
            </w:r>
          </w:p>
        </w:tc>
        <w:tc>
          <w:tcPr>
            <w:tcW w:type="dxa" w:w="28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1A1A1A"/>
                <w:sz w:val="20"/>
                <w:szCs w:val="20"/>
              </w:rPr>
              <w:t xml:space="preserve">[__]% of contract total</w:t>
            </w:r>
          </w:p>
        </w:tc>
        <w:tc>
          <w:tcPr>
            <w:tcW w:type="dxa" w:w="28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1A1A1A"/>
                <w:sz w:val="20"/>
                <w:szCs w:val="20"/>
              </w:rPr>
              <w:t xml:space="preserve">Upon delivery to job site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0"/>
                <w:szCs w:val="20"/>
              </w:rPr>
              <w:t xml:space="preserve">Final / Substantial Completion</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Remaining balance</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Upon substantial completion of installation</w:t>
            </w:r>
          </w:p>
        </w:tc>
      </w:tr>
    </w:tbl>
    <w:p>
      <w:pPr>
        <w:spacing w:after="80" w:before="0"/>
      </w:pPr>
      <w:r>
        <w:t xml:space="preserve"/>
      </w:r>
    </w:p>
    <w:p>
      <w:pPr>
        <w:spacing w:after="80" w:before="80"/>
      </w:pPr>
      <w:r>
        <w:rPr>
          <w:rFonts w:ascii="Arial" w:cs="Arial" w:eastAsia="Arial" w:hAnsi="Arial"/>
          <w:color w:val="1A1A1A"/>
          <w:sz w:val="20"/>
          <w:szCs w:val="20"/>
        </w:rPr>
        <w:t xml:space="preserve">Past-due balances accrue interest at the rate of [__]% per month (or the maximum rate permitted by Idaho law, whichever is less). Client is responsible for all collection costs, including reasonable attorney fees, incurred in collecting past-due amounts.</w:t>
      </w:r>
    </w:p>
    <w:p>
      <w:pPr>
        <w:spacing w:after="80" w:before="0"/>
      </w:pPr>
      <w:r>
        <w:t xml:space="preserve"/>
      </w:r>
    </w:p>
    <w:p>
      <w:pPr>
        <w:spacing w:after="80" w:before="80"/>
      </w:pPr>
      <w:r>
        <w:rPr>
          <w:rFonts w:ascii="Arial" w:cs="Arial" w:eastAsia="Arial" w:hAnsi="Arial"/>
          <w:color w:val="1A1A1A"/>
          <w:sz w:val="20"/>
          <w:szCs w:val="20"/>
        </w:rPr>
        <w:t xml:space="preserve">ATTORNEY NOTE: Fill in deposit %, production release %, delivery %, and interest rate. Confirm these terms comply with Idaho law and ACC’s current business practices.</w:t>
      </w:r>
    </w:p>
    <w:p>
      <w:pPr>
        <w:spacing w:after="120" w:before="0"/>
      </w:pPr>
      <w:r>
        <w:t xml:space="preserve"/>
      </w:r>
    </w:p>
    <w:p>
      <w:pPr>
        <w:pStyle w:val="Heading1"/>
        <w:pBdr>
          <w:bottom w:val="single" w:color="C0541A" w:sz="8" w:space="6"/>
        </w:pBdr>
        <w:spacing w:after="120" w:before="320"/>
      </w:pPr>
      <w:r>
        <w:rPr>
          <w:rFonts w:ascii="Arial" w:cs="Arial" w:eastAsia="Arial" w:hAnsi="Arial"/>
          <w:b/>
          <w:bCs/>
          <w:color w:val="1A1A1A"/>
          <w:sz w:val="26"/>
          <w:szCs w:val="26"/>
        </w:rPr>
        <w:t xml:space="preserve">5.  Change Orders</w:t>
      </w:r>
    </w:p>
    <w:p>
      <w:pPr>
        <w:spacing w:after="80" w:before="80"/>
      </w:pPr>
      <w:r>
        <w:rPr>
          <w:rFonts w:ascii="Arial" w:cs="Arial" w:eastAsia="Arial" w:hAnsi="Arial"/>
          <w:color w:val="1A1A1A"/>
          <w:sz w:val="20"/>
          <w:szCs w:val="20"/>
        </w:rPr>
        <w:t xml:space="preserve">Any modification to the scope of work, materials, finishes, or schedule agreed upon in the original contract constitutes a Change Order. The following applies to all Change Orders:</w:t>
      </w:r>
    </w:p>
    <w:p>
      <w:pPr>
        <w:spacing w:after="60" w:before="0"/>
      </w:pPr>
      <w:r>
        <w:t xml:space="preserve"/>
      </w:r>
    </w:p>
    <w:p>
      <w:pPr>
        <w:pStyle w:val="ListParagraph"/>
        <w:numPr>
          <w:ilvl w:val="0"/>
          <w:numId w:val="2"/>
        </w:numPr>
        <w:spacing w:after="60" w:before="60"/>
      </w:pPr>
      <w:r>
        <w:rPr>
          <w:rFonts w:ascii="Arial" w:cs="Arial" w:eastAsia="Arial" w:hAnsi="Arial"/>
          <w:color w:val="1A1A1A"/>
          <w:sz w:val="20"/>
          <w:szCs w:val="20"/>
        </w:rPr>
        <w:t xml:space="preserve">All Change Orders must be in writing and signed by both parties before work reflecting the change begins.</w:t>
      </w:r>
    </w:p>
    <w:p>
      <w:pPr>
        <w:pStyle w:val="ListParagraph"/>
        <w:numPr>
          <w:ilvl w:val="0"/>
          <w:numId w:val="2"/>
        </w:numPr>
        <w:spacing w:after="60" w:before="60"/>
      </w:pPr>
      <w:r>
        <w:rPr>
          <w:rFonts w:ascii="Arial" w:cs="Arial" w:eastAsia="Arial" w:hAnsi="Arial"/>
          <w:color w:val="1A1A1A"/>
          <w:sz w:val="20"/>
          <w:szCs w:val="20"/>
        </w:rPr>
        <w:t xml:space="preserve">Change Orders will be priced at then-current labor and material rates and may include additional lead time.</w:t>
      </w:r>
    </w:p>
    <w:p>
      <w:pPr>
        <w:pStyle w:val="ListParagraph"/>
        <w:numPr>
          <w:ilvl w:val="0"/>
          <w:numId w:val="2"/>
        </w:numPr>
        <w:spacing w:after="60" w:before="60"/>
      </w:pPr>
      <w:r>
        <w:rPr>
          <w:rFonts w:ascii="Arial" w:cs="Arial" w:eastAsia="Arial" w:hAnsi="Arial"/>
          <w:color w:val="1A1A1A"/>
          <w:sz w:val="20"/>
          <w:szCs w:val="20"/>
        </w:rPr>
        <w:t xml:space="preserve">No verbal Change Orders will be honored. ACC is not responsible for work performed or materials ordered without a signed Change Order.</w:t>
      </w:r>
    </w:p>
    <w:p>
      <w:pPr>
        <w:pStyle w:val="ListParagraph"/>
        <w:numPr>
          <w:ilvl w:val="0"/>
          <w:numId w:val="2"/>
        </w:numPr>
        <w:spacing w:after="60" w:before="60"/>
      </w:pPr>
      <w:r>
        <w:rPr>
          <w:rFonts w:ascii="Arial" w:cs="Arial" w:eastAsia="Arial" w:hAnsi="Arial"/>
          <w:color w:val="1A1A1A"/>
          <w:sz w:val="20"/>
          <w:szCs w:val="20"/>
        </w:rPr>
        <w:t xml:space="preserve">Changes requested after materials have been ordered or fabrication has begun may result in cancellation fees, restocking charges, or additional costs as applicable.</w:t>
      </w:r>
    </w:p>
    <w:p>
      <w:pPr>
        <w:pStyle w:val="ListParagraph"/>
        <w:numPr>
          <w:ilvl w:val="0"/>
          <w:numId w:val="2"/>
        </w:numPr>
        <w:spacing w:after="60" w:before="60"/>
      </w:pPr>
      <w:r>
        <w:rPr>
          <w:rFonts w:ascii="Arial" w:cs="Arial" w:eastAsia="Arial" w:hAnsi="Arial"/>
          <w:color w:val="1A1A1A"/>
          <w:sz w:val="20"/>
          <w:szCs w:val="20"/>
        </w:rPr>
        <w:t xml:space="preserve">ACC will provide a written Change Order quote within [__] business days of a client’s written request.</w:t>
      </w:r>
    </w:p>
    <w:p>
      <w:pPr>
        <w:spacing w:after="120" w:before="0"/>
      </w:pPr>
      <w:r>
        <w:t xml:space="preserve"/>
      </w:r>
    </w:p>
    <w:p>
      <w:pPr>
        <w:pStyle w:val="Heading1"/>
        <w:pBdr>
          <w:bottom w:val="single" w:color="C0541A" w:sz="8" w:space="6"/>
        </w:pBdr>
        <w:spacing w:after="120" w:before="320"/>
      </w:pPr>
      <w:r>
        <w:rPr>
          <w:rFonts w:ascii="Arial" w:cs="Arial" w:eastAsia="Arial" w:hAnsi="Arial"/>
          <w:b/>
          <w:bCs/>
          <w:color w:val="1A1A1A"/>
          <w:sz w:val="26"/>
          <w:szCs w:val="26"/>
        </w:rPr>
        <w:t xml:space="preserve">6.  Lead Times, Delivery &amp; Installation</w:t>
      </w:r>
    </w:p>
    <w:p>
      <w:pPr>
        <w:spacing w:after="80" w:before="80"/>
      </w:pPr>
      <w:r>
        <w:rPr>
          <w:rFonts w:ascii="Arial" w:cs="Arial" w:eastAsia="Arial" w:hAnsi="Arial"/>
          <w:color w:val="1A1A1A"/>
          <w:sz w:val="20"/>
          <w:szCs w:val="20"/>
        </w:rPr>
        <w:t xml:space="preserve">All lead time estimates are provided in good faith and are subject to change based on material availability, production schedules, and conditions beyond ACC’s control. ACC is not liable for delays caused by:</w:t>
      </w:r>
    </w:p>
    <w:p>
      <w:pPr>
        <w:spacing w:after="60" w:before="0"/>
      </w:pPr>
      <w:r>
        <w:t xml:space="preserve"/>
      </w:r>
    </w:p>
    <w:p>
      <w:pPr>
        <w:pStyle w:val="ListParagraph"/>
        <w:numPr>
          <w:ilvl w:val="0"/>
          <w:numId w:val="2"/>
        </w:numPr>
        <w:spacing w:after="60" w:before="60"/>
      </w:pPr>
      <w:r>
        <w:rPr>
          <w:rFonts w:ascii="Arial" w:cs="Arial" w:eastAsia="Arial" w:hAnsi="Arial"/>
          <w:color w:val="1A1A1A"/>
          <w:sz w:val="20"/>
          <w:szCs w:val="20"/>
        </w:rPr>
        <w:t xml:space="preserve">Material or component shortages from suppliers</w:t>
      </w:r>
    </w:p>
    <w:p>
      <w:pPr>
        <w:pStyle w:val="ListParagraph"/>
        <w:numPr>
          <w:ilvl w:val="0"/>
          <w:numId w:val="2"/>
        </w:numPr>
        <w:spacing w:after="60" w:before="60"/>
      </w:pPr>
      <w:r>
        <w:rPr>
          <w:rFonts w:ascii="Arial" w:cs="Arial" w:eastAsia="Arial" w:hAnsi="Arial"/>
          <w:color w:val="1A1A1A"/>
          <w:sz w:val="20"/>
          <w:szCs w:val="20"/>
        </w:rPr>
        <w:t xml:space="preserve">Acts of God, natural disasters, or force majeure events</w:t>
      </w:r>
    </w:p>
    <w:p>
      <w:pPr>
        <w:pStyle w:val="ListParagraph"/>
        <w:numPr>
          <w:ilvl w:val="0"/>
          <w:numId w:val="2"/>
        </w:numPr>
        <w:spacing w:after="60" w:before="60"/>
      </w:pPr>
      <w:r>
        <w:rPr>
          <w:rFonts w:ascii="Arial" w:cs="Arial" w:eastAsia="Arial" w:hAnsi="Arial"/>
          <w:color w:val="1A1A1A"/>
          <w:sz w:val="20"/>
          <w:szCs w:val="20"/>
        </w:rPr>
        <w:t xml:space="preserve">Delays caused by other trades or general contractor at the job site</w:t>
      </w:r>
    </w:p>
    <w:p>
      <w:pPr>
        <w:pStyle w:val="ListParagraph"/>
        <w:numPr>
          <w:ilvl w:val="0"/>
          <w:numId w:val="2"/>
        </w:numPr>
        <w:spacing w:after="60" w:before="60"/>
      </w:pPr>
      <w:r>
        <w:rPr>
          <w:rFonts w:ascii="Arial" w:cs="Arial" w:eastAsia="Arial" w:hAnsi="Arial"/>
          <w:color w:val="1A1A1A"/>
          <w:sz w:val="20"/>
          <w:szCs w:val="20"/>
        </w:rPr>
        <w:t xml:space="preserve">Client-initiated changes or late approvals</w:t>
      </w:r>
    </w:p>
    <w:p>
      <w:pPr>
        <w:spacing w:after="80" w:before="0"/>
      </w:pPr>
      <w:r>
        <w:t xml:space="preserve"/>
      </w:r>
    </w:p>
    <w:p>
      <w:pPr>
        <w:spacing w:after="80" w:before="80"/>
      </w:pPr>
      <w:r>
        <w:rPr>
          <w:rFonts w:ascii="Arial" w:cs="Arial" w:eastAsia="Arial" w:hAnsi="Arial"/>
          <w:color w:val="1A1A1A"/>
          <w:sz w:val="20"/>
          <w:szCs w:val="20"/>
        </w:rPr>
        <w:t xml:space="preserve">Client is responsible for ensuring the job site is ready to receive delivery and installation on the scheduled date. If the site is not ready, storage fees of $[__] per week may apply after a [__]-day grace period.</w:t>
      </w:r>
    </w:p>
    <w:p>
      <w:pPr>
        <w:spacing w:after="80" w:before="0"/>
      </w:pPr>
      <w:r>
        <w:t xml:space="preserve"/>
      </w:r>
    </w:p>
    <w:p>
      <w:pPr>
        <w:spacing w:after="80" w:before="80"/>
      </w:pPr>
      <w:r>
        <w:rPr>
          <w:rFonts w:ascii="Arial" w:cs="Arial" w:eastAsia="Arial" w:hAnsi="Arial"/>
          <w:color w:val="1A1A1A"/>
          <w:sz w:val="20"/>
          <w:szCs w:val="20"/>
        </w:rPr>
        <w:t xml:space="preserve">ATTORNEY NOTE: Insert current standard lead time range (e.g., “8–12 weeks from production release”) and confirm storage fee amounts.</w:t>
      </w:r>
    </w:p>
    <w:p>
      <w:pPr>
        <w:spacing w:after="120" w:before="0"/>
      </w:pPr>
      <w:r>
        <w:t xml:space="preserve"/>
      </w:r>
    </w:p>
    <w:p>
      <w:pPr>
        <w:pStyle w:val="Heading1"/>
        <w:pBdr>
          <w:bottom w:val="single" w:color="C0541A" w:sz="8" w:space="6"/>
        </w:pBdr>
        <w:spacing w:after="120" w:before="320"/>
      </w:pPr>
      <w:r>
        <w:rPr>
          <w:rFonts w:ascii="Arial" w:cs="Arial" w:eastAsia="Arial" w:hAnsi="Arial"/>
          <w:b/>
          <w:bCs/>
          <w:color w:val="1A1A1A"/>
          <w:sz w:val="26"/>
          <w:szCs w:val="26"/>
        </w:rPr>
        <w:t xml:space="preserve">7.  Limited Warranty</w:t>
      </w:r>
    </w:p>
    <w:p>
      <w:pPr>
        <w:pStyle w:val="Heading2"/>
        <w:spacing w:after="80" w:before="240"/>
      </w:pPr>
      <w:r>
        <w:rPr>
          <w:rFonts w:ascii="Arial" w:cs="Arial" w:eastAsia="Arial" w:hAnsi="Arial"/>
          <w:b/>
          <w:bCs/>
          <w:color w:val="C0541A"/>
          <w:sz w:val="22"/>
          <w:szCs w:val="22"/>
        </w:rPr>
        <w:t xml:space="preserve">7.1  What Is Covered</w:t>
      </w:r>
    </w:p>
    <w:p>
      <w:pPr>
        <w:spacing w:after="80" w:before="80"/>
      </w:pPr>
      <w:r>
        <w:rPr>
          <w:rFonts w:ascii="Arial" w:cs="Arial" w:eastAsia="Arial" w:hAnsi="Arial"/>
          <w:color w:val="1A1A1A"/>
          <w:sz w:val="20"/>
          <w:szCs w:val="20"/>
        </w:rPr>
        <w:t xml:space="preserve">Advanced Custom Cabinets warrants that all cabinetry and millwork will be free from defects in materials and workmanship for a period of [__] year(s) from the date of substantial completion under normal use and maintenance conditions.</w:t>
      </w:r>
    </w:p>
    <w:p>
      <w:pPr>
        <w:spacing w:after="60" w:before="0"/>
      </w:pPr>
      <w:r>
        <w:t xml:space="preserve"/>
      </w:r>
    </w:p>
    <w:p>
      <w:pPr>
        <w:pStyle w:val="Heading2"/>
        <w:spacing w:after="80" w:before="240"/>
      </w:pPr>
      <w:r>
        <w:rPr>
          <w:rFonts w:ascii="Arial" w:cs="Arial" w:eastAsia="Arial" w:hAnsi="Arial"/>
          <w:b/>
          <w:bCs/>
          <w:color w:val="C0541A"/>
          <w:sz w:val="22"/>
          <w:szCs w:val="22"/>
        </w:rPr>
        <w:t xml:space="preserve">7.2  What Is Not Covered</w:t>
      </w:r>
    </w:p>
    <w:p>
      <w:pPr>
        <w:spacing w:after="80" w:before="80"/>
      </w:pPr>
      <w:r>
        <w:rPr>
          <w:rFonts w:ascii="Arial" w:cs="Arial" w:eastAsia="Arial" w:hAnsi="Arial"/>
          <w:color w:val="1A1A1A"/>
          <w:sz w:val="20"/>
          <w:szCs w:val="20"/>
        </w:rPr>
        <w:t xml:space="preserve">This warranty does not cover:</w:t>
      </w:r>
    </w:p>
    <w:p>
      <w:pPr>
        <w:spacing w:after="60" w:before="0"/>
      </w:pPr>
      <w:r>
        <w:t xml:space="preserve"/>
      </w:r>
    </w:p>
    <w:p>
      <w:pPr>
        <w:pStyle w:val="ListParagraph"/>
        <w:numPr>
          <w:ilvl w:val="0"/>
          <w:numId w:val="2"/>
        </w:numPr>
        <w:spacing w:after="60" w:before="60"/>
      </w:pPr>
      <w:r>
        <w:rPr>
          <w:rFonts w:ascii="Arial" w:cs="Arial" w:eastAsia="Arial" w:hAnsi="Arial"/>
          <w:color w:val="1A1A1A"/>
          <w:sz w:val="20"/>
          <w:szCs w:val="20"/>
        </w:rPr>
        <w:t xml:space="preserve">Damage caused by improper cleaning products, excessive moisture, or abnormal use</w:t>
      </w:r>
    </w:p>
    <w:p>
      <w:pPr>
        <w:pStyle w:val="ListParagraph"/>
        <w:numPr>
          <w:ilvl w:val="0"/>
          <w:numId w:val="2"/>
        </w:numPr>
        <w:spacing w:after="60" w:before="60"/>
      </w:pPr>
      <w:r>
        <w:rPr>
          <w:rFonts w:ascii="Arial" w:cs="Arial" w:eastAsia="Arial" w:hAnsi="Arial"/>
          <w:color w:val="1A1A1A"/>
          <w:sz w:val="20"/>
          <w:szCs w:val="20"/>
        </w:rPr>
        <w:t xml:space="preserve">Natural wood movement, grain variation, or color change due to light exposure</w:t>
      </w:r>
    </w:p>
    <w:p>
      <w:pPr>
        <w:pStyle w:val="ListParagraph"/>
        <w:numPr>
          <w:ilvl w:val="0"/>
          <w:numId w:val="2"/>
        </w:numPr>
        <w:spacing w:after="60" w:before="60"/>
      </w:pPr>
      <w:r>
        <w:rPr>
          <w:rFonts w:ascii="Arial" w:cs="Arial" w:eastAsia="Arial" w:hAnsi="Arial"/>
          <w:color w:val="1A1A1A"/>
          <w:sz w:val="20"/>
          <w:szCs w:val="20"/>
        </w:rPr>
        <w:t xml:space="preserve">Damage caused by other trades, general contractor, or third parties</w:t>
      </w:r>
    </w:p>
    <w:p>
      <w:pPr>
        <w:pStyle w:val="ListParagraph"/>
        <w:numPr>
          <w:ilvl w:val="0"/>
          <w:numId w:val="2"/>
        </w:numPr>
        <w:spacing w:after="60" w:before="60"/>
      </w:pPr>
      <w:r>
        <w:rPr>
          <w:rFonts w:ascii="Arial" w:cs="Arial" w:eastAsia="Arial" w:hAnsi="Arial"/>
          <w:color w:val="1A1A1A"/>
          <w:sz w:val="20"/>
          <w:szCs w:val="20"/>
        </w:rPr>
        <w:t xml:space="preserve">Client-supplied materials or finishes</w:t>
      </w:r>
    </w:p>
    <w:p>
      <w:pPr>
        <w:pStyle w:val="ListParagraph"/>
        <w:numPr>
          <w:ilvl w:val="0"/>
          <w:numId w:val="2"/>
        </w:numPr>
        <w:spacing w:after="60" w:before="60"/>
      </w:pPr>
      <w:r>
        <w:rPr>
          <w:rFonts w:ascii="Arial" w:cs="Arial" w:eastAsia="Arial" w:hAnsi="Arial"/>
          <w:color w:val="1A1A1A"/>
          <w:sz w:val="20"/>
          <w:szCs w:val="20"/>
        </w:rPr>
        <w:t xml:space="preserve">Normal wear and tear</w:t>
      </w:r>
    </w:p>
    <w:p>
      <w:pPr>
        <w:pStyle w:val="ListParagraph"/>
        <w:numPr>
          <w:ilvl w:val="0"/>
          <w:numId w:val="2"/>
        </w:numPr>
        <w:spacing w:after="60" w:before="60"/>
      </w:pPr>
      <w:r>
        <w:rPr>
          <w:rFonts w:ascii="Arial" w:cs="Arial" w:eastAsia="Arial" w:hAnsi="Arial"/>
          <w:color w:val="1A1A1A"/>
          <w:sz w:val="20"/>
          <w:szCs w:val="20"/>
        </w:rPr>
        <w:t xml:space="preserve">Modifications or repairs made by anyone other than ACC</w:t>
      </w:r>
    </w:p>
    <w:p>
      <w:pPr>
        <w:spacing w:after="80" w:before="0"/>
      </w:pPr>
      <w:r>
        <w:t xml:space="preserve"/>
      </w:r>
    </w:p>
    <w:p>
      <w:pPr>
        <w:spacing w:after="80" w:before="80"/>
      </w:pPr>
      <w:r>
        <w:rPr>
          <w:rFonts w:ascii="Arial" w:cs="Arial" w:eastAsia="Arial" w:hAnsi="Arial"/>
          <w:color w:val="1A1A1A"/>
          <w:sz w:val="20"/>
          <w:szCs w:val="20"/>
        </w:rPr>
        <w:t xml:space="preserve">ATTORNEY NOTE: Confirm warranty period and whether any manufacturer or supplier warranties pass through to the client. Consider whether an express disclaimer of implied warranties is appropriate and enforceable under Idaho law.</w:t>
      </w:r>
    </w:p>
    <w:p>
      <w:pPr>
        <w:spacing w:after="120" w:before="0"/>
      </w:pPr>
      <w:r>
        <w:t xml:space="preserve"/>
      </w:r>
    </w:p>
    <w:p>
      <w:pPr>
        <w:pStyle w:val="Heading1"/>
        <w:pBdr>
          <w:bottom w:val="single" w:color="C0541A" w:sz="8" w:space="6"/>
        </w:pBdr>
        <w:spacing w:after="120" w:before="320"/>
      </w:pPr>
      <w:r>
        <w:rPr>
          <w:rFonts w:ascii="Arial" w:cs="Arial" w:eastAsia="Arial" w:hAnsi="Arial"/>
          <w:b/>
          <w:bCs/>
          <w:color w:val="1A1A1A"/>
          <w:sz w:val="26"/>
          <w:szCs w:val="26"/>
        </w:rPr>
        <w:t xml:space="preserve">8.  Limitation of Liability</w:t>
      </w:r>
    </w:p>
    <w:p>
      <w:pPr>
        <w:spacing w:after="80" w:before="80"/>
      </w:pPr>
      <w:r>
        <w:rPr>
          <w:rFonts w:ascii="Arial" w:cs="Arial" w:eastAsia="Arial" w:hAnsi="Arial"/>
          <w:color w:val="1A1A1A"/>
          <w:sz w:val="20"/>
          <w:szCs w:val="20"/>
        </w:rPr>
        <w:t xml:space="preserve">TO THE MAXIMUM EXTENT PERMITTED BY APPLICABLE LAW, IN NO EVENT SHALL ADVANCED CUSTOM CABINETS BE LIABLE FOR ANY INCIDENTAL, CONSEQUENTIAL, SPECIAL, OR PUNITIVE DAMAGES ARISING OUT OF OR RELATED TO THIS AGREEMENT, INCLUDING BUT NOT LIMITED TO LOSS OF USE, LOSS OF PROFITS, OR COST OF SUBSTITUTE GOODS OR SERVICES.</w:t>
      </w:r>
    </w:p>
    <w:p>
      <w:pPr>
        <w:spacing w:after="80" w:before="0"/>
      </w:pPr>
      <w:r>
        <w:t xml:space="preserve"/>
      </w:r>
    </w:p>
    <w:p>
      <w:pPr>
        <w:spacing w:after="80" w:before="80"/>
      </w:pPr>
      <w:r>
        <w:rPr>
          <w:rFonts w:ascii="Arial" w:cs="Arial" w:eastAsia="Arial" w:hAnsi="Arial"/>
          <w:color w:val="1A1A1A"/>
          <w:sz w:val="20"/>
          <w:szCs w:val="20"/>
        </w:rPr>
        <w:t xml:space="preserve">ACC’s total liability under this agreement, regardless of the form of action, shall not exceed the total contract price paid by Client to ACC as of the date the claim arises.</w:t>
      </w:r>
    </w:p>
    <w:p>
      <w:pPr>
        <w:spacing w:after="80" w:before="0"/>
      </w:pPr>
      <w:r>
        <w:t xml:space="preserve"/>
      </w:r>
    </w:p>
    <w:p>
      <w:pPr>
        <w:spacing w:after="80" w:before="80"/>
      </w:pPr>
      <w:r>
        <w:rPr>
          <w:rFonts w:ascii="Arial" w:cs="Arial" w:eastAsia="Arial" w:hAnsi="Arial"/>
          <w:color w:val="1A1A1A"/>
          <w:sz w:val="20"/>
          <w:szCs w:val="20"/>
        </w:rPr>
        <w:t xml:space="preserve">ATTORNEY NOTE: Review enforceability of limitation-of-liability clauses under Idaho law for residential contracts. Adjust language as needed.</w:t>
      </w:r>
    </w:p>
    <w:p>
      <w:pPr>
        <w:spacing w:after="120" w:before="0"/>
      </w:pPr>
      <w:r>
        <w:t xml:space="preserve"/>
      </w:r>
    </w:p>
    <w:p>
      <w:pPr>
        <w:pStyle w:val="Heading1"/>
        <w:pBdr>
          <w:bottom w:val="single" w:color="C0541A" w:sz="8" w:space="6"/>
        </w:pBdr>
        <w:spacing w:after="120" w:before="320"/>
      </w:pPr>
      <w:r>
        <w:rPr>
          <w:rFonts w:ascii="Arial" w:cs="Arial" w:eastAsia="Arial" w:hAnsi="Arial"/>
          <w:b/>
          <w:bCs/>
          <w:color w:val="1A1A1A"/>
          <w:sz w:val="26"/>
          <w:szCs w:val="26"/>
        </w:rPr>
        <w:t xml:space="preserve">9.  Dispute Resolution</w:t>
      </w:r>
    </w:p>
    <w:p>
      <w:pPr>
        <w:spacing w:after="80" w:before="80"/>
      </w:pPr>
      <w:r>
        <w:rPr>
          <w:rFonts w:ascii="Arial" w:cs="Arial" w:eastAsia="Arial" w:hAnsi="Arial"/>
          <w:color w:val="1A1A1A"/>
          <w:sz w:val="20"/>
          <w:szCs w:val="20"/>
        </w:rPr>
        <w:t xml:space="preserve">In the event of a dispute arising from this agreement, the parties agree to the following process:</w:t>
      </w:r>
    </w:p>
    <w:p>
      <w:pPr>
        <w:spacing w:after="60" w:before="0"/>
      </w:pPr>
      <w:r>
        <w:t xml:space="preserve"/>
      </w:r>
    </w:p>
    <w:p>
      <w:pPr>
        <w:pStyle w:val="ListParagraph"/>
        <w:numPr>
          <w:ilvl w:val="0"/>
          <w:numId w:val="2"/>
        </w:numPr>
        <w:spacing w:after="60" w:before="60"/>
      </w:pPr>
      <w:r>
        <w:rPr>
          <w:rFonts w:ascii="Arial" w:cs="Arial" w:eastAsia="Arial" w:hAnsi="Arial"/>
          <w:color w:val="1A1A1A"/>
          <w:sz w:val="20"/>
          <w:szCs w:val="20"/>
        </w:rPr>
        <w:t xml:space="preserve">Step 1 — Good Faith Negotiation: Both parties will attempt to resolve the dispute informally within 15 days of written notice.</w:t>
      </w:r>
    </w:p>
    <w:p>
      <w:pPr>
        <w:pStyle w:val="ListParagraph"/>
        <w:numPr>
          <w:ilvl w:val="0"/>
          <w:numId w:val="2"/>
        </w:numPr>
        <w:spacing w:after="60" w:before="60"/>
      </w:pPr>
      <w:r>
        <w:rPr>
          <w:rFonts w:ascii="Arial" w:cs="Arial" w:eastAsia="Arial" w:hAnsi="Arial"/>
          <w:color w:val="1A1A1A"/>
          <w:sz w:val="20"/>
          <w:szCs w:val="20"/>
        </w:rPr>
        <w:t xml:space="preserve">Step 2 — Mediation: If negotiation fails, the parties agree to non-binding mediation before a mutually agreed mediator, with costs shared equally.</w:t>
      </w:r>
    </w:p>
    <w:p>
      <w:pPr>
        <w:pStyle w:val="ListParagraph"/>
        <w:numPr>
          <w:ilvl w:val="0"/>
          <w:numId w:val="2"/>
        </w:numPr>
        <w:spacing w:after="60" w:before="60"/>
      </w:pPr>
      <w:r>
        <w:rPr>
          <w:rFonts w:ascii="Arial" w:cs="Arial" w:eastAsia="Arial" w:hAnsi="Arial"/>
          <w:color w:val="1A1A1A"/>
          <w:sz w:val="20"/>
          <w:szCs w:val="20"/>
        </w:rPr>
        <w:t xml:space="preserve">Step 3 — Litigation: If mediation fails, disputes shall be resolved in a court of competent jurisdiction in [COUNTY] County, Idaho. The prevailing party shall be entitled to reasonable attorney fees and costs.</w:t>
      </w:r>
    </w:p>
    <w:p>
      <w:pPr>
        <w:spacing w:after="80" w:before="0"/>
      </w:pPr>
      <w:r>
        <w:t xml:space="preserve"/>
      </w:r>
    </w:p>
    <w:p>
      <w:pPr>
        <w:spacing w:after="80" w:before="80"/>
      </w:pPr>
      <w:r>
        <w:rPr>
          <w:rFonts w:ascii="Arial" w:cs="Arial" w:eastAsia="Arial" w:hAnsi="Arial"/>
          <w:color w:val="1A1A1A"/>
          <w:sz w:val="20"/>
          <w:szCs w:val="20"/>
        </w:rPr>
        <w:t xml:space="preserve">This agreement shall be governed by and construed in accordance with the laws of the State of Idaho.</w:t>
      </w:r>
    </w:p>
    <w:p>
      <w:pPr>
        <w:spacing w:after="80" w:before="0"/>
      </w:pPr>
      <w:r>
        <w:t xml:space="preserve"/>
      </w:r>
    </w:p>
    <w:p>
      <w:pPr>
        <w:spacing w:after="80" w:before="80"/>
      </w:pPr>
      <w:r>
        <w:rPr>
          <w:rFonts w:ascii="Arial" w:cs="Arial" w:eastAsia="Arial" w:hAnsi="Arial"/>
          <w:color w:val="1A1A1A"/>
          <w:sz w:val="20"/>
          <w:szCs w:val="20"/>
        </w:rPr>
        <w:t xml:space="preserve">ATTORNEY NOTE: Consider whether mandatory arbitration is preferable to litigation. Insert the correct county for venue. Confirm attorney’s fee clause is enforceable as written.</w:t>
      </w:r>
    </w:p>
    <w:p>
      <w:pPr>
        <w:spacing w:after="120" w:before="0"/>
      </w:pPr>
      <w:r>
        <w:t xml:space="preserve"/>
      </w:r>
    </w:p>
    <w:p>
      <w:pPr>
        <w:pStyle w:val="Heading1"/>
        <w:pBdr>
          <w:bottom w:val="single" w:color="C0541A" w:sz="8" w:space="6"/>
        </w:pBdr>
        <w:spacing w:after="120" w:before="320"/>
      </w:pPr>
      <w:r>
        <w:rPr>
          <w:rFonts w:ascii="Arial" w:cs="Arial" w:eastAsia="Arial" w:hAnsi="Arial"/>
          <w:b/>
          <w:bCs/>
          <w:color w:val="1A1A1A"/>
          <w:sz w:val="26"/>
          <w:szCs w:val="26"/>
        </w:rPr>
        <w:t xml:space="preserve">10.  Entire Agreement</w:t>
      </w:r>
    </w:p>
    <w:p>
      <w:pPr>
        <w:spacing w:after="80" w:before="80"/>
      </w:pPr>
      <w:r>
        <w:rPr>
          <w:rFonts w:ascii="Arial" w:cs="Arial" w:eastAsia="Arial" w:hAnsi="Arial"/>
          <w:color w:val="1A1A1A"/>
          <w:sz w:val="20"/>
          <w:szCs w:val="20"/>
        </w:rPr>
        <w:t xml:space="preserve">This Residential Disclosure Agreement, together with the attached Project Specification, Quote, and any signed Change Orders, constitutes the entire agreement between the parties with respect to the subject matter hereof. No prior representations, warranties, or understandings, whether oral or written, shall have any legal effect. This agreement may be modified only in writing signed by both parties.</w:t>
      </w:r>
    </w:p>
    <w:p>
      <w:pPr>
        <w:spacing w:after="80" w:before="0"/>
      </w:pPr>
      <w:r>
        <w:t xml:space="preserve"/>
      </w:r>
    </w:p>
    <w:p>
      <w:pPr>
        <w:spacing w:after="80" w:before="80"/>
      </w:pPr>
      <w:r>
        <w:rPr>
          <w:rFonts w:ascii="Arial" w:cs="Arial" w:eastAsia="Arial" w:hAnsi="Arial"/>
          <w:color w:val="1A1A1A"/>
          <w:sz w:val="20"/>
          <w:szCs w:val="20"/>
        </w:rPr>
        <w:t xml:space="preserve">If any provision of this agreement is found to be unenforceable, the remaining provisions shall remain in full force and effect.</w:t>
      </w:r>
    </w:p>
    <w:p>
      <w:pPr>
        <w:spacing w:after="160" w:before="0"/>
      </w:pPr>
      <w:r>
        <w:t xml:space="preserve"/>
      </w:r>
    </w:p>
    <w:p>
      <w:pPr>
        <w:pStyle w:val="Heading1"/>
        <w:pBdr>
          <w:bottom w:val="single" w:color="C0541A" w:sz="8" w:space="6"/>
        </w:pBdr>
        <w:spacing w:after="120" w:before="320"/>
      </w:pPr>
      <w:r>
        <w:rPr>
          <w:rFonts w:ascii="Arial" w:cs="Arial" w:eastAsia="Arial" w:hAnsi="Arial"/>
          <w:b/>
          <w:bCs/>
          <w:color w:val="1A1A1A"/>
          <w:sz w:val="26"/>
          <w:szCs w:val="26"/>
        </w:rPr>
        <w:t xml:space="preserve">Acknowledgment &amp; Signatures</w:t>
      </w:r>
    </w:p>
    <w:p>
      <w:pPr>
        <w:spacing w:after="80" w:before="80"/>
      </w:pPr>
      <w:r>
        <w:rPr>
          <w:rFonts w:ascii="Arial" w:cs="Arial" w:eastAsia="Arial" w:hAnsi="Arial"/>
          <w:color w:val="1A1A1A"/>
          <w:sz w:val="20"/>
          <w:szCs w:val="20"/>
        </w:rPr>
        <w:t xml:space="preserve">By signing below, each party acknowledges that they have read, understood, and agreed to the terms of this Residential Disclosure Agreement, including the Right of Rescission described in Section 1.</w:t>
      </w:r>
    </w:p>
    <w:p>
      <w:pPr>
        <w:spacing w:after="1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single" w:color="DDDDDD" w:sz="1"/>
              <w:right w:val="none" w:color="FFFFFF" w:sz="0"/>
            </w:tcBorders>
            <w:tcMar>
              <w:top w:type="dxa" w:w="0"/>
              <w:left w:type="dxa" w:w="0"/>
              <w:bottom w:type="dxa" w:w="40"/>
              <w:right w:type="dxa" w:w="0"/>
            </w:tcMar>
          </w:tcPr>
          <w:p>
            <w:r>
              <w:t xml:space="preserve"/>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single" w:color="DDDDDD" w:sz="1"/>
              <w:right w:val="none" w:color="FFFFFF" w:sz="0"/>
            </w:tcBorders>
            <w:tcMar>
              <w:top w:type="dxa" w:w="0"/>
              <w:left w:type="dxa" w:w="0"/>
              <w:bottom w:type="dxa" w:w="40"/>
              <w:right w:type="dxa" w:w="0"/>
            </w:tcMar>
          </w:tcPr>
          <w:p>
            <w:r>
              <w:t xml:space="preserve"/>
            </w:r>
          </w:p>
        </w:tc>
      </w:tr>
      <w:tr>
        <w:tc>
          <w:tcPr>
            <w:tcW w:type="dxa" w:w="4500"/>
            <w:tcBorders>
              <w:top w:val="none" w:color="FFFFFF" w:sz="0"/>
              <w:left w:val="none" w:color="FFFFFF" w:sz="0"/>
              <w:bottom w:val="none" w:color="FFFFFF" w:sz="0"/>
              <w:right w:val="none" w:color="FFFFFF" w:sz="0"/>
            </w:tcBorders>
          </w:tcPr>
          <w:p>
            <w:pPr>
              <w:spacing w:before="60"/>
            </w:pPr>
            <w:r>
              <w:rPr>
                <w:rFonts w:ascii="Arial" w:cs="Arial" w:eastAsia="Arial" w:hAnsi="Arial"/>
                <w:color w:val="555555"/>
                <w:sz w:val="16"/>
                <w:szCs w:val="16"/>
              </w:rPr>
              <w:t xml:space="preserve">CLIENT Signature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spacing w:before="60"/>
            </w:pPr>
            <w:r>
              <w:rPr>
                <w:rFonts w:ascii="Arial" w:cs="Arial" w:eastAsia="Arial" w:hAnsi="Arial"/>
                <w:color w:val="555555"/>
                <w:sz w:val="16"/>
                <w:szCs w:val="16"/>
              </w:rPr>
              <w:t xml:space="preserve">Date</w:t>
            </w:r>
          </w:p>
        </w:tc>
      </w:tr>
    </w:tbl>
    <w:p>
      <w:pPr>
        <w:spacing w:after="2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single" w:color="DDDDDD" w:sz="1"/>
              <w:right w:val="none" w:color="FFFFFF" w:sz="0"/>
            </w:tcBorders>
            <w:tcMar>
              <w:top w:type="dxa" w:w="0"/>
              <w:left w:type="dxa" w:w="0"/>
              <w:bottom w:type="dxa" w:w="40"/>
              <w:right w:type="dxa" w:w="0"/>
            </w:tcMar>
          </w:tcPr>
          <w:p>
            <w:r>
              <w:t xml:space="preserve"/>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single" w:color="DDDDDD" w:sz="1"/>
              <w:right w:val="none" w:color="FFFFFF" w:sz="0"/>
            </w:tcBorders>
            <w:tcMar>
              <w:top w:type="dxa" w:w="0"/>
              <w:left w:type="dxa" w:w="0"/>
              <w:bottom w:type="dxa" w:w="40"/>
              <w:right w:type="dxa" w:w="0"/>
            </w:tcMar>
          </w:tcPr>
          <w:p>
            <w:r>
              <w:t xml:space="preserve"/>
            </w:r>
          </w:p>
        </w:tc>
      </w:tr>
      <w:tr>
        <w:tc>
          <w:tcPr>
            <w:tcW w:type="dxa" w:w="4500"/>
            <w:tcBorders>
              <w:top w:val="none" w:color="FFFFFF" w:sz="0"/>
              <w:left w:val="none" w:color="FFFFFF" w:sz="0"/>
              <w:bottom w:val="none" w:color="FFFFFF" w:sz="0"/>
              <w:right w:val="none" w:color="FFFFFF" w:sz="0"/>
            </w:tcBorders>
          </w:tcPr>
          <w:p>
            <w:pPr>
              <w:spacing w:before="60"/>
            </w:pPr>
            <w:r>
              <w:rPr>
                <w:rFonts w:ascii="Arial" w:cs="Arial" w:eastAsia="Arial" w:hAnsi="Arial"/>
                <w:color w:val="555555"/>
                <w:sz w:val="16"/>
                <w:szCs w:val="16"/>
              </w:rPr>
              <w:t xml:space="preserve">CLIENT (2nd if applicable) Signature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spacing w:before="60"/>
            </w:pPr>
            <w:r>
              <w:rPr>
                <w:rFonts w:ascii="Arial" w:cs="Arial" w:eastAsia="Arial" w:hAnsi="Arial"/>
                <w:color w:val="555555"/>
                <w:sz w:val="16"/>
                <w:szCs w:val="16"/>
              </w:rPr>
              <w:t xml:space="preserve">Date</w:t>
            </w:r>
          </w:p>
        </w:tc>
      </w:tr>
    </w:tbl>
    <w:p>
      <w:pPr>
        <w:spacing w:after="2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single" w:color="DDDDDD" w:sz="1"/>
              <w:right w:val="none" w:color="FFFFFF" w:sz="0"/>
            </w:tcBorders>
            <w:tcMar>
              <w:top w:type="dxa" w:w="0"/>
              <w:left w:type="dxa" w:w="0"/>
              <w:bottom w:type="dxa" w:w="40"/>
              <w:right w:type="dxa" w:w="0"/>
            </w:tcMar>
          </w:tcPr>
          <w:p>
            <w:r>
              <w:t xml:space="preserve"/>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single" w:color="DDDDDD" w:sz="1"/>
              <w:right w:val="none" w:color="FFFFFF" w:sz="0"/>
            </w:tcBorders>
            <w:tcMar>
              <w:top w:type="dxa" w:w="0"/>
              <w:left w:type="dxa" w:w="0"/>
              <w:bottom w:type="dxa" w:w="40"/>
              <w:right w:type="dxa" w:w="0"/>
            </w:tcMar>
          </w:tcPr>
          <w:p>
            <w:r>
              <w:t xml:space="preserve"/>
            </w:r>
          </w:p>
        </w:tc>
      </w:tr>
      <w:tr>
        <w:tc>
          <w:tcPr>
            <w:tcW w:type="dxa" w:w="4500"/>
            <w:tcBorders>
              <w:top w:val="none" w:color="FFFFFF" w:sz="0"/>
              <w:left w:val="none" w:color="FFFFFF" w:sz="0"/>
              <w:bottom w:val="none" w:color="FFFFFF" w:sz="0"/>
              <w:right w:val="none" w:color="FFFFFF" w:sz="0"/>
            </w:tcBorders>
          </w:tcPr>
          <w:p>
            <w:pPr>
              <w:spacing w:before="60"/>
            </w:pPr>
            <w:r>
              <w:rPr>
                <w:rFonts w:ascii="Arial" w:cs="Arial" w:eastAsia="Arial" w:hAnsi="Arial"/>
                <w:color w:val="555555"/>
                <w:sz w:val="16"/>
                <w:szCs w:val="16"/>
              </w:rPr>
              <w:t xml:space="preserve">ADVANCED CUSTOM CABINETS — Authorized Representative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spacing w:before="60"/>
            </w:pPr>
            <w:r>
              <w:rPr>
                <w:rFonts w:ascii="Arial" w:cs="Arial" w:eastAsia="Arial" w:hAnsi="Arial"/>
                <w:color w:val="555555"/>
                <w:sz w:val="16"/>
                <w:szCs w:val="16"/>
              </w:rPr>
              <w:t xml:space="preserve">Date</w:t>
            </w:r>
          </w:p>
        </w:tc>
      </w:tr>
    </w:tbl>
    <w:p>
      <w:pPr>
        <w:spacing w:after="200" w:before="0"/>
      </w:pPr>
      <w:r>
        <w:t xml:space="preserve"/>
      </w:r>
    </w:p>
    <w:p>
      <w:pPr>
        <w:pBdr>
          <w:bottom w:val="single" w:color="DDDDDD" w:sz="4" w:space="1"/>
        </w:pBdr>
        <w:spacing w:after="200" w:before="200"/>
      </w:pPr>
      <w:r>
        <w:t xml:space="preserve"/>
      </w:r>
    </w:p>
    <w:p>
      <w:pPr>
        <w:spacing w:after="0" w:before="120"/>
        <w:jc w:val="center"/>
      </w:pPr>
      <w:r>
        <w:rPr>
          <w:rFonts w:ascii="Arial" w:cs="Arial" w:eastAsia="Arial" w:hAnsi="Arial"/>
          <w:i/>
          <w:iCs/>
          <w:color w:val="555555"/>
          <w:sz w:val="16"/>
          <w:szCs w:val="16"/>
        </w:rPr>
        <w:t xml:space="preserve">ATTORNEY REVIEW DRAFT — Placeholders marked [BRACKET] require your input before use.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spacing w:before="80"/>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r>
      <w:rPr>
        <w:rFonts w:ascii="Arial" w:cs="Arial" w:eastAsia="Arial" w:hAnsi="Arial"/>
        <w:color w:val="555555"/>
        <w:sz w:val="16"/>
        <w:szCs w:val="16"/>
      </w:rPr>
      <w:t xml:space="preserve">  |  Advanced Custom Cabinets  |  [ATTORNEY REVIEW DRAFT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541A" w:sz="4" w:space="6"/>
      </w:pBdr>
      <w:spacing w:after="0"/>
      <w:jc w:val="right"/>
    </w:pPr>
    <w:r>
      <w:rPr>
        <w:rFonts w:ascii="Arial" w:cs="Arial" w:eastAsia="Arial" w:hAnsi="Arial"/>
        <w:color w:val="555555"/>
        <w:sz w:val="16"/>
        <w:szCs w:val="16"/>
      </w:rPr>
      <w:t xml:space="preserve">Advanced Custom Cabinets  |  Residential Disclosure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1A"/>
      <w:sz w:val="26"/>
      <w:szCs w:val="26"/>
    </w:rPr>
  </w:style>
  <w:style w:type="paragraph" w:styleId="Heading2">
    <w:name w:val="Heading 2"/>
    <w:basedOn w:val="Normal"/>
    <w:next w:val="Normal"/>
    <w:qFormat/>
    <w:pPr>
      <w:spacing w:after="80" w:before="240"/>
      <w:outlineLvl w:val="1"/>
    </w:pPr>
    <w:rPr>
      <w:rFonts w:ascii="Arial" w:cs="Arial" w:eastAsia="Arial" w:hAnsi="Arial"/>
      <w:b/>
      <w:bCs/>
      <w:color w:val="C054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2026-05-12T17:31:24.747Z</dcterms:created>
  <dcterms:modified xsi:type="dcterms:W3CDTF">2026-05-12T17:31:24.748Z</dcterms:modified>
</cp:coreProperties>
</file>

<file path=docProps/custom.xml><?xml version="1.0" encoding="utf-8"?>
<Properties xmlns="http://schemas.openxmlformats.org/officeDocument/2006/custom-properties" xmlns:vt="http://schemas.openxmlformats.org/officeDocument/2006/docPropsVTypes"/>
</file>