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Resource Mobilization Strategy || Tools for Fundraising</w:t>
      </w:r>
    </w:p>
    <w:p>
      <w:r>
        <w:t>Faculty Name: Leone Mawa</w:t>
      </w:r>
    </w:p>
    <w:p>
      <w:r>
        <w:t>No. of Respondents: 11</w:t>
      </w:r>
    </w:p>
    <w:p>
      <w:r>
        <w:t>No. of Participants: 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The day seemed not well planned for. The afternoon session the faculty was tired and not well prepared</w:t>
      </w:r>
    </w:p>
    <w:p>
      <w:pPr>
        <w:pStyle w:val="ListBullet"/>
      </w:pPr>
      <w:r>
        <w:t>• Alot of time is needed for this to help develop one for an organization.Consider allocating more time for this</w:t>
      </w:r>
    </w:p>
    <w:p>
      <w:pPr>
        <w:pStyle w:val="ListBullet"/>
      </w:pPr>
      <w:r>
        <w:t>• Meet expectations</w:t>
      </w:r>
    </w:p>
    <w:p>
      <w:pPr>
        <w:pStyle w:val="ListBullet"/>
      </w:pPr>
      <w:r>
        <w:t>• More time</w:t>
      </w:r>
    </w:p>
    <w:p>
      <w:pPr>
        <w:pStyle w:val="ListBullet"/>
      </w:pPr>
      <w:r>
        <w:t>• Keep up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