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  –  SCALE MASTERCLASS Module 2 (ONLINE)– Uganda (1st June 2026 - 5th June 2026)</w:t>
      </w:r>
    </w:p>
    <w:p>
      <w:r>
        <w:t>Session: Reflections and Way Forward  ||Wrap Up Session/ Questions and Answers, Next Steps</w:t>
      </w:r>
    </w:p>
    <w:p>
      <w:r>
        <w:t>Faculty Name: Dr. Nancy Njiraini</w:t>
      </w:r>
    </w:p>
    <w:p>
      <w:r>
        <w:t>No. of Respondents: 7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Conflicting priorities – Day-to-day crises overshadow applying new knowledge.</w:t>
        <w:br/>
        <w:t>Time Constraints — Running a nursery and primary school on a daily basis is demanding. Finding dedicated time to step back and work on the business rather than in it remains a significant challenge.</w:t>
        <w:br/>
        <w:t>Limited Technical Expertise — Some of the funding application processes and impact measurement frameworks require technical skills that we may need additional support or training to fully implement.</w:t>
        <w:br/>
        <w:t>Access to the Right Funders — Identifying and connecting with funders who specifically support early childhood education in our region can be difficult, especially without an established network.</w:t>
      </w:r>
    </w:p>
    <w:p>
      <w:pPr>
        <w:pStyle w:val="ListBullet"/>
      </w:pPr>
      <w:r>
        <w:t>• Lack of data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