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Social impact measures and planning</w:t>
      </w:r>
    </w:p>
    <w:p>
      <w:r>
        <w:t>Faculty Name: Dr. Cathy Mbidde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Time limitation</w:t>
      </w:r>
    </w:p>
    <w:p>
      <w:pPr>
        <w:pStyle w:val="ListBullet"/>
      </w:pPr>
      <w:r>
        <w:t>• Scarcity of resources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Lack of enough resources</w:t>
      </w:r>
    </w:p>
    <w:p>
      <w:pPr>
        <w:pStyle w:val="ListBullet"/>
      </w:pPr>
      <w:r>
        <w:t>• ministry at hand. time clashes.</w:t>
      </w:r>
    </w:p>
    <w:p>
      <w:pPr>
        <w:pStyle w:val="ListBullet"/>
      </w:pPr>
      <w:r>
        <w:t>• financial constraint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