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tcMar>
              <w:top w:w="3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78900" cy="7863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uizio-logo-bla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90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C9A227"/>
                <w:sz w:val="17"/>
              </w:rPr>
              <w:t>PLANO DE CURSO · 10 HORAS · 5 ENCONTROS</w:t>
            </w:r>
          </w:p>
        </w:tc>
      </w:tr>
    </w:tbl>
    <w:p>
      <w:pPr>
        <w:spacing w:after="40"/>
      </w:pPr>
    </w:p>
    <w:p>
      <w:pPr>
        <w:spacing w:before="280" w:after="0" w:line="252" w:lineRule="auto"/>
      </w:pPr>
      <w:r>
        <w:rPr>
          <w:rFonts w:ascii="Georgia" w:hAnsi="Georgia"/>
          <w:b/>
          <w:i w:val="0"/>
          <w:color w:val="1B2A4A"/>
          <w:sz w:val="44"/>
        </w:rPr>
        <w:t>Geopolítica Aplicada às Simulações Model UN</w:t>
      </w:r>
    </w:p>
    <w:p>
      <w:pPr>
        <w:spacing w:before="40" w:after="120" w:line="276" w:lineRule="auto"/>
      </w:pPr>
      <w:r>
        <w:rPr>
          <w:rFonts w:ascii="Calibri" w:hAnsi="Calibri"/>
          <w:b w:val="0"/>
          <w:i/>
          <w:color w:val="3C4250"/>
          <w:sz w:val="23"/>
        </w:rPr>
        <w:t>Planejamento aula por aula — dominar as estruturas da ONU e aplicá-las para resolver problemas das simulações (negociação, redação de resoluções e obtenção de fundos).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C9A227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shd w:val="clear" w:color="auto" w:fill="EEF2FA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5"/>
              </w:rPr>
              <w:t>CARGA HORÁRIA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/>
                <w:b/>
                <w:i w:val="0"/>
                <w:color w:val="1B2A4A"/>
                <w:sz w:val="22"/>
              </w:rPr>
              <w:t>10 horas</w:t>
            </w:r>
          </w:p>
        </w:tc>
        <w:tc>
          <w:tcPr>
            <w:tcW w:type="dxa" w:w="2340"/>
            <w:shd w:val="clear" w:color="auto" w:fill="EEF2FA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5"/>
              </w:rPr>
              <w:t>FORMATO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/>
                <w:b/>
                <w:i w:val="0"/>
                <w:color w:val="1B2A4A"/>
                <w:sz w:val="22"/>
              </w:rPr>
              <w:t>5 encontros de 2h</w:t>
            </w:r>
          </w:p>
        </w:tc>
        <w:tc>
          <w:tcPr>
            <w:tcW w:type="dxa" w:w="2340"/>
            <w:shd w:val="clear" w:color="auto" w:fill="EEF2FA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5"/>
              </w:rPr>
              <w:t>MODALIDADE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/>
                <w:b/>
                <w:i w:val="0"/>
                <w:color w:val="1B2A4A"/>
                <w:sz w:val="22"/>
              </w:rPr>
              <w:t>Individual</w:t>
            </w:r>
          </w:p>
        </w:tc>
        <w:tc>
          <w:tcPr>
            <w:tcW w:type="dxa" w:w="2340"/>
            <w:shd w:val="clear" w:color="auto" w:fill="EEF2FA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5"/>
              </w:rPr>
              <w:t>PÚBLICO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/>
                <w:b/>
                <w:i w:val="0"/>
                <w:color w:val="1B2A4A"/>
                <w:sz w:val="22"/>
              </w:rPr>
              <w:t>Estudante MUN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Apresentação</w:t>
            </w:r>
          </w:p>
        </w:tc>
      </w:tr>
    </w:tbl>
    <w:p>
      <w:pPr>
        <w:spacing w:after="40"/>
      </w:pPr>
    </w:p>
    <w:p>
      <w:pPr>
        <w:spacing w:before="40" w:after="80" w:line="283" w:lineRule="auto"/>
      </w:pPr>
      <w:r>
        <w:rPr>
          <w:rFonts w:ascii="Calibri" w:hAnsi="Calibri"/>
          <w:b w:val="0"/>
          <w:i w:val="0"/>
          <w:color w:val="3C4250"/>
          <w:sz w:val="21"/>
        </w:rPr>
        <w:t>Este programa prepara o estudante para atuar com estratégia em simulações Model UN. Mais do que conhecer o organograma da ONU, o objetivo é que o aluno entenda a lógica das estruturas das Nações Unidas e saiba acioná-las para resolver problemas concretos da simulação — escolher o órgão competente, negociar, redigir resoluções e, sobretudo, mobilizar e obter fundos para viabilizar suas propostas. O fio condutor é “da estrutura à ação”.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Objetivos de aprendizagem</w:t>
            </w:r>
          </w:p>
        </w:tc>
      </w:tr>
    </w:tbl>
    <w:p>
      <w:pPr>
        <w:spacing w:after="40"/>
      </w:pP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Identificar os órgãos da ONU, suas competências e seus limites.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Distinguir órgãos, programas, fundos e agências — e saber a qual recorrer.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Compreender como a ONU se financia e como obter recursos em comitê.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Dominar as regras de procedimento (moções, caucus, votação).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Redigir position paper, working paper e draft resolution.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Negociar, formar blocos e construir consenso, inclusive sob crise.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Apresentar-se com postura e oratória diplomáticas.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Cronograma das 10 horas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3360"/>
        <w:gridCol w:w="3360"/>
        <w:gridCol w:w="3360"/>
      </w:tblGrid>
      <w:tr>
        <w:tc>
          <w:tcPr>
            <w:tcW w:type="dxa" w:w="1217"/>
            <w:shd w:val="clear" w:color="auto" w:fill="1B2A4A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Aula</w:t>
            </w:r>
          </w:p>
        </w:tc>
        <w:tc>
          <w:tcPr>
            <w:tcW w:type="dxa" w:w="5803"/>
            <w:shd w:val="clear" w:color="auto" w:fill="1B2A4A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 central</w:t>
            </w:r>
          </w:p>
        </w:tc>
        <w:tc>
          <w:tcPr>
            <w:tcW w:type="dxa" w:w="2340"/>
            <w:shd w:val="clear" w:color="auto" w:fill="1B2A4A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Carga</w:t>
            </w:r>
          </w:p>
        </w:tc>
      </w:tr>
      <w:tr>
        <w:tc>
          <w:tcPr>
            <w:tcW w:type="dxa" w:w="33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5AAC"/>
                <w:sz w:val="22"/>
              </w:rPr>
              <w:t>1</w:t>
            </w:r>
          </w:p>
        </w:tc>
        <w:tc>
          <w:tcPr>
            <w:tcW w:type="dxa" w:w="33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1"/>
              </w:rPr>
              <w:t>O sistema ONU: arquitetura e lógica de funcionamento</w:t>
            </w:r>
          </w:p>
        </w:tc>
        <w:tc>
          <w:tcPr>
            <w:tcW w:type="dxa" w:w="33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2h</w:t>
            </w:r>
          </w:p>
        </w:tc>
      </w:tr>
      <w:tr>
        <w:tc>
          <w:tcPr>
            <w:tcW w:type="dxa" w:w="3360"/>
            <w:shd w:val="clear" w:color="auto" w:fill="F7F9FC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5AAC"/>
                <w:sz w:val="22"/>
              </w:rPr>
              <w:t>2</w:t>
            </w:r>
          </w:p>
        </w:tc>
        <w:tc>
          <w:tcPr>
            <w:tcW w:type="dxa" w:w="3360"/>
            <w:shd w:val="clear" w:color="auto" w:fill="F7F9FC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1"/>
              </w:rPr>
              <w:t>Órgãos, agências e mecanismos de financiamento</w:t>
            </w:r>
          </w:p>
        </w:tc>
        <w:tc>
          <w:tcPr>
            <w:tcW w:type="dxa" w:w="3360"/>
            <w:shd w:val="clear" w:color="auto" w:fill="F7F9FC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2h</w:t>
            </w:r>
          </w:p>
        </w:tc>
      </w:tr>
      <w:tr>
        <w:tc>
          <w:tcPr>
            <w:tcW w:type="dxa" w:w="33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5AAC"/>
                <w:sz w:val="22"/>
              </w:rPr>
              <w:t>3</w:t>
            </w:r>
          </w:p>
        </w:tc>
        <w:tc>
          <w:tcPr>
            <w:tcW w:type="dxa" w:w="33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1"/>
              </w:rPr>
              <w:t>Regras de procedimento e dinâmica de comitê</w:t>
            </w:r>
          </w:p>
        </w:tc>
        <w:tc>
          <w:tcPr>
            <w:tcW w:type="dxa" w:w="33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2h</w:t>
            </w:r>
          </w:p>
        </w:tc>
      </w:tr>
      <w:tr>
        <w:tc>
          <w:tcPr>
            <w:tcW w:type="dxa" w:w="3360"/>
            <w:shd w:val="clear" w:color="auto" w:fill="F7F9FC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5AAC"/>
                <w:sz w:val="22"/>
              </w:rPr>
              <w:t>4</w:t>
            </w:r>
          </w:p>
        </w:tc>
        <w:tc>
          <w:tcPr>
            <w:tcW w:type="dxa" w:w="3360"/>
            <w:shd w:val="clear" w:color="auto" w:fill="F7F9FC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1"/>
              </w:rPr>
              <w:t>Documentos, redação de resoluções e negociação</w:t>
            </w:r>
          </w:p>
        </w:tc>
        <w:tc>
          <w:tcPr>
            <w:tcW w:type="dxa" w:w="3360"/>
            <w:shd w:val="clear" w:color="auto" w:fill="F7F9FC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2h</w:t>
            </w:r>
          </w:p>
        </w:tc>
      </w:tr>
      <w:tr>
        <w:tc>
          <w:tcPr>
            <w:tcW w:type="dxa" w:w="33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5AAC"/>
                <w:sz w:val="22"/>
              </w:rPr>
              <w:t>5</w:t>
            </w:r>
          </w:p>
        </w:tc>
        <w:tc>
          <w:tcPr>
            <w:tcW w:type="dxa" w:w="33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1"/>
              </w:rPr>
              <w:t>Simulação integrada, oratória e feedback</w:t>
            </w:r>
          </w:p>
        </w:tc>
        <w:tc>
          <w:tcPr>
            <w:tcW w:type="dxa" w:w="33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2h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Planejamento aula por aula</w:t>
            </w:r>
            <w:r>
              <w:rPr>
                <w:rFonts w:ascii="Calibri" w:hAnsi="Calibri"/>
                <w:b w:val="0"/>
                <w:i w:val="0"/>
                <w:color w:val="DCE6FB"/>
                <w:sz w:val="19"/>
              </w:rPr>
              <w:t xml:space="preserve">    10 horas · 5 encontros de 2h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7301"/>
            <w:shd w:val="clear" w:color="auto" w:fill="1B2A4A"/>
            <w:tcMar>
              <w:top w:w="80" w:type="dxa"/>
              <w:bottom w:w="80" w:type="dxa"/>
              <w:start w:w="140" w:type="dxa"/>
              <w:end w:w="100" w:type="dxa"/>
              <w:left w:w="14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C9A227"/>
                <w:sz w:val="22"/>
              </w:rPr>
              <w:t xml:space="preserve">AULA 1  ·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O sistema ONU: arquitetura e lógica de funcionamento</w:t>
            </w:r>
          </w:p>
        </w:tc>
        <w:tc>
          <w:tcPr>
            <w:tcW w:type="dxa" w:w="2059"/>
            <w:shd w:val="clear" w:color="auto" w:fill="C9A227"/>
            <w:tcMar>
              <w:top w:w="80" w:type="dxa"/>
              <w:bottom w:w="80" w:type="dxa"/>
              <w:start w:w="100" w:type="dxa"/>
              <w:end w:w="140" w:type="dxa"/>
              <w:left w:w="100" w:type="dxa"/>
              <w:right w:w="140" w:type="dxa"/>
            </w:tcMar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1B2A4A"/>
                <w:sz w:val="19"/>
              </w:rPr>
              <w:t>2 horas (120 min)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EEF2FA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Objetivo da aula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Compreender a origem, os princípios e os órgãos da ONU e como cada um se traduz em um comitê de simulação.</w:t>
            </w:r>
          </w:p>
        </w:tc>
      </w:tr>
    </w:tbl>
    <w:p>
      <w:pPr>
        <w:spacing w:after="2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B2A4A"/>
          <w:sz w:val="19"/>
        </w:rPr>
        <w:t>Roteiro de tempo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5040"/>
        <w:gridCol w:w="5040"/>
      </w:tblGrid>
      <w:tr>
        <w:tc>
          <w:tcPr>
            <w:tcW w:type="dxa" w:w="1872"/>
            <w:shd w:val="clear" w:color="auto" w:fill="2E5AA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Tempo</w:t>
            </w:r>
          </w:p>
        </w:tc>
        <w:tc>
          <w:tcPr>
            <w:tcW w:type="dxa" w:w="7488"/>
            <w:shd w:val="clear" w:color="auto" w:fill="2E5AA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Atividade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0–10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Abertura, diagnóstico do aluno e objetivos da aula.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10–40 min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A Carta de São Francisco (1945): propósitos e princípios — soberania, não-intervenção, segurança coletiva e solução pacífica de controvérsias.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40–80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Os órgãos principais e suas competências: Assembleia Geral, Conselho de Segurança (P5 e veto), ECOSOC, Secretariado, Corte Internacional de Justiça e o Conselho de Tutela.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80–105 min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Da estrutura ao comitê: como cada órgão vira um comitê de MUN e o que muda em poderes e documentos.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105–120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Atividade prática e fechamento.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  <w:insideH w:val="single" w:sz="4" w:space="0" w:color="C9A227"/>
          <w:insideV w:val="single" w:sz="4" w:space="0" w:color="C9A227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9A7B16"/>
                <w:sz w:val="19"/>
              </w:rPr>
              <w:t xml:space="preserve">Atividade prática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Mapa do sistema ONU — dado um conjunto de problemas (conflito armado, epidemia, refugiados, crise alimentar), o aluno indica o órgão/comitê competente e justifica.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E5AAC"/>
          <w:left w:val="single" w:sz="4" w:space="0" w:color="2E5AAC"/>
          <w:bottom w:val="single" w:sz="4" w:space="0" w:color="2E5AAC"/>
          <w:right w:val="single" w:sz="4" w:space="0" w:color="2E5AAC"/>
          <w:insideH w:val="single" w:sz="4" w:space="0" w:color="2E5AAC"/>
          <w:insideV w:val="single" w:sz="4" w:space="0" w:color="2E5AAC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Entregável do aluno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Quadro-resumo “qual órgão para qual problema”.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7301"/>
            <w:shd w:val="clear" w:color="auto" w:fill="1B2A4A"/>
            <w:tcMar>
              <w:top w:w="80" w:type="dxa"/>
              <w:bottom w:w="80" w:type="dxa"/>
              <w:start w:w="140" w:type="dxa"/>
              <w:end w:w="100" w:type="dxa"/>
              <w:left w:w="14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C9A227"/>
                <w:sz w:val="22"/>
              </w:rPr>
              <w:t xml:space="preserve">AULA 2  ·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Órgãos, agências e mecanismos de financiamento</w:t>
            </w:r>
          </w:p>
        </w:tc>
        <w:tc>
          <w:tcPr>
            <w:tcW w:type="dxa" w:w="2059"/>
            <w:shd w:val="clear" w:color="auto" w:fill="C9A227"/>
            <w:tcMar>
              <w:top w:w="80" w:type="dxa"/>
              <w:bottom w:w="80" w:type="dxa"/>
              <w:start w:w="100" w:type="dxa"/>
              <w:end w:w="140" w:type="dxa"/>
              <w:left w:w="100" w:type="dxa"/>
              <w:right w:w="140" w:type="dxa"/>
            </w:tcMar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1B2A4A"/>
                <w:sz w:val="19"/>
              </w:rPr>
              <w:t>2 horas (120 min)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EEF2FA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Objetivo da aula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Distinguir órgãos, programas, fundos e agências, entender como a ONU se financia e como obter recursos para propostas em comitê.</w:t>
            </w:r>
          </w:p>
        </w:tc>
      </w:tr>
    </w:tbl>
    <w:p>
      <w:pPr>
        <w:spacing w:after="2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B2A4A"/>
          <w:sz w:val="19"/>
        </w:rPr>
        <w:t>Roteiro de tempo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5040"/>
        <w:gridCol w:w="5040"/>
      </w:tblGrid>
      <w:tr>
        <w:tc>
          <w:tcPr>
            <w:tcW w:type="dxa" w:w="1872"/>
            <w:shd w:val="clear" w:color="auto" w:fill="2E5AA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Tempo</w:t>
            </w:r>
          </w:p>
        </w:tc>
        <w:tc>
          <w:tcPr>
            <w:tcW w:type="dxa" w:w="7488"/>
            <w:shd w:val="clear" w:color="auto" w:fill="2E5AA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Atividade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0–10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Revisão da aula anterior e conexão com o tema.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10–35 min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O ecossistema multilateral: programas e fundos (PNUD, UNICEF, ACNUR, PMA/WFP) × agências especializadas (OMS, FAO, UNESCO, OIT) e Bretton Woods.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35–75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Como a ONU se financia: contribuições obrigatórias × voluntárias, escala de cotas, fundos fiduciários (trust funds) e pooled funds (ex.: CERF).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75–105 min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Obtendo fundos na simulação: identificar a fonte certa, redigir cláusula que solicita/cria financiamento, mobilizar doadores e prever prestação de contas.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105–120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Atividade prática e fechamento.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  <w:insideH w:val="single" w:sz="4" w:space="0" w:color="C9A227"/>
          <w:insideV w:val="single" w:sz="4" w:space="0" w:color="C9A227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9A7B16"/>
                <w:sz w:val="19"/>
              </w:rPr>
              <w:t xml:space="preserve">Atividade prática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Captação de recursos — diante de uma crise humanitária fictícia, o aluno desenha o plano de financiamento (fundos/agências a acionar, cláusula a redigir, parceiros).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E5AAC"/>
          <w:left w:val="single" w:sz="4" w:space="0" w:color="2E5AAC"/>
          <w:bottom w:val="single" w:sz="4" w:space="0" w:color="2E5AAC"/>
          <w:right w:val="single" w:sz="4" w:space="0" w:color="2E5AAC"/>
          <w:insideH w:val="single" w:sz="4" w:space="0" w:color="2E5AAC"/>
          <w:insideV w:val="single" w:sz="4" w:space="0" w:color="2E5AAC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Entregável do aluno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Rascunho de cláusula operativa de financiamento.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7301"/>
            <w:shd w:val="clear" w:color="auto" w:fill="1B2A4A"/>
            <w:tcMar>
              <w:top w:w="80" w:type="dxa"/>
              <w:bottom w:w="80" w:type="dxa"/>
              <w:start w:w="140" w:type="dxa"/>
              <w:end w:w="100" w:type="dxa"/>
              <w:left w:w="14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C9A227"/>
                <w:sz w:val="22"/>
              </w:rPr>
              <w:t xml:space="preserve">AULA 3  ·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Regras de procedimento e dinâmica de comitê</w:t>
            </w:r>
          </w:p>
        </w:tc>
        <w:tc>
          <w:tcPr>
            <w:tcW w:type="dxa" w:w="2059"/>
            <w:shd w:val="clear" w:color="auto" w:fill="C9A227"/>
            <w:tcMar>
              <w:top w:w="80" w:type="dxa"/>
              <w:bottom w:w="80" w:type="dxa"/>
              <w:start w:w="100" w:type="dxa"/>
              <w:end w:w="140" w:type="dxa"/>
              <w:left w:w="100" w:type="dxa"/>
              <w:right w:w="140" w:type="dxa"/>
            </w:tcMar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1B2A4A"/>
                <w:sz w:val="19"/>
              </w:rPr>
              <w:t>2 horas (120 min)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EEF2FA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Objetivo da aula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Dominar as Rules of Procedure e o fluxo de uma sessão para atuar com segurança na mesa.</w:t>
            </w:r>
          </w:p>
        </w:tc>
      </w:tr>
    </w:tbl>
    <w:p>
      <w:pPr>
        <w:spacing w:after="2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B2A4A"/>
          <w:sz w:val="19"/>
        </w:rPr>
        <w:t>Roteiro de tempo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5040"/>
        <w:gridCol w:w="5040"/>
      </w:tblGrid>
      <w:tr>
        <w:tc>
          <w:tcPr>
            <w:tcW w:type="dxa" w:w="1872"/>
            <w:shd w:val="clear" w:color="auto" w:fill="2E5AA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Tempo</w:t>
            </w:r>
          </w:p>
        </w:tc>
        <w:tc>
          <w:tcPr>
            <w:tcW w:type="dxa" w:w="7488"/>
            <w:shd w:val="clear" w:color="auto" w:fill="2E5AA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Atividade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0–10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Revisão e aquecimento.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10–45 min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Rules of Procedure: quórum, lista de oradores (GSL), moções (caucus moderado/não-moderado, encerrar debate, votação) e pontos (ordem, informação).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45–75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Fluxo da sessão: roll call → setting the agenda → debate formal → caucus → redação → votação.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75–100 min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Papéis e relação com a mesa (dais/chair); etiqueta; tipos de comitê (AGNU, CSNU, ECOSOC, históricos e de crise).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100–120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Mini-simulação de procedimento e fechamento.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  <w:insideH w:val="single" w:sz="4" w:space="0" w:color="C9A227"/>
          <w:insideV w:val="single" w:sz="4" w:space="0" w:color="C9A227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9A7B16"/>
                <w:sz w:val="19"/>
              </w:rPr>
              <w:t xml:space="preserve">Atividade prática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Mini-simulação: o aluno conduz uma rodada com abertura de agenda, moções de caucus e votação.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E5AAC"/>
          <w:left w:val="single" w:sz="4" w:space="0" w:color="2E5AAC"/>
          <w:bottom w:val="single" w:sz="4" w:space="0" w:color="2E5AAC"/>
          <w:right w:val="single" w:sz="4" w:space="0" w:color="2E5AAC"/>
          <w:insideH w:val="single" w:sz="4" w:space="0" w:color="2E5AAC"/>
          <w:insideV w:val="single" w:sz="4" w:space="0" w:color="2E5AAC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Entregável do aluno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“Cola” pessoal de moções (quando usar cada uma).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7301"/>
            <w:shd w:val="clear" w:color="auto" w:fill="1B2A4A"/>
            <w:tcMar>
              <w:top w:w="80" w:type="dxa"/>
              <w:bottom w:w="80" w:type="dxa"/>
              <w:start w:w="140" w:type="dxa"/>
              <w:end w:w="100" w:type="dxa"/>
              <w:left w:w="14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C9A227"/>
                <w:sz w:val="22"/>
              </w:rPr>
              <w:t xml:space="preserve">AULA 4  ·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Documentos, redação de resoluções e negociação</w:t>
            </w:r>
          </w:p>
        </w:tc>
        <w:tc>
          <w:tcPr>
            <w:tcW w:type="dxa" w:w="2059"/>
            <w:shd w:val="clear" w:color="auto" w:fill="C9A227"/>
            <w:tcMar>
              <w:top w:w="80" w:type="dxa"/>
              <w:bottom w:w="80" w:type="dxa"/>
              <w:start w:w="100" w:type="dxa"/>
              <w:end w:w="140" w:type="dxa"/>
              <w:left w:w="100" w:type="dxa"/>
              <w:right w:w="140" w:type="dxa"/>
            </w:tcMar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1B2A4A"/>
                <w:sz w:val="19"/>
              </w:rPr>
              <w:t>2 horas (120 min)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EEF2FA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Objetivo da aula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Redigir documentos tecnicamente corretos e negociar para construir consenso em torno de uma resolução.</w:t>
            </w:r>
          </w:p>
        </w:tc>
      </w:tr>
    </w:tbl>
    <w:p>
      <w:pPr>
        <w:spacing w:after="2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B2A4A"/>
          <w:sz w:val="19"/>
        </w:rPr>
        <w:t>Roteiro de tempo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5040"/>
        <w:gridCol w:w="5040"/>
      </w:tblGrid>
      <w:tr>
        <w:tc>
          <w:tcPr>
            <w:tcW w:type="dxa" w:w="1872"/>
            <w:shd w:val="clear" w:color="auto" w:fill="2E5AA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Tempo</w:t>
            </w:r>
          </w:p>
        </w:tc>
        <w:tc>
          <w:tcPr>
            <w:tcW w:type="dxa" w:w="7488"/>
            <w:shd w:val="clear" w:color="auto" w:fill="2E5AA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Atividade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0–10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Revisão e exemplos comentados.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10–35 min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Documentos do delegado: position paper, working paper, draft resolution e emendas.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35–70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Anatomia da resolução: cláusulas preambulares × operativas e os verbos típicos de cada uma.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70–95 min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Cláusula operativa exequível: criar mecanismos, solicitar financiamento, definir prazos, responsáveis e monitoramento.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95–120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Redação assistida e negociação simulada.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  <w:insideH w:val="single" w:sz="4" w:space="0" w:color="C9A227"/>
          <w:insideV w:val="single" w:sz="4" w:space="0" w:color="C9A227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9A7B16"/>
                <w:sz w:val="19"/>
              </w:rPr>
              <w:t xml:space="preserve">Atividade prática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O aluno redige uma draft resolution completa — incluindo um mecanismo de financiamento — e a defende em negociação simulada (blocos, sponsors, concessões).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E5AAC"/>
          <w:left w:val="single" w:sz="4" w:space="0" w:color="2E5AAC"/>
          <w:bottom w:val="single" w:sz="4" w:space="0" w:color="2E5AAC"/>
          <w:right w:val="single" w:sz="4" w:space="0" w:color="2E5AAC"/>
          <w:insideH w:val="single" w:sz="4" w:space="0" w:color="2E5AAC"/>
          <w:insideV w:val="single" w:sz="4" w:space="0" w:color="2E5AAC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Entregável do aluno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Draft resolution revisada com feedback.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7301"/>
            <w:shd w:val="clear" w:color="auto" w:fill="1B2A4A"/>
            <w:tcMar>
              <w:top w:w="80" w:type="dxa"/>
              <w:bottom w:w="80" w:type="dxa"/>
              <w:start w:w="140" w:type="dxa"/>
              <w:end w:w="100" w:type="dxa"/>
              <w:left w:w="14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C9A227"/>
                <w:sz w:val="22"/>
              </w:rPr>
              <w:t xml:space="preserve">AULA 5  ·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Simulação integrada, oratória e feedback</w:t>
            </w:r>
          </w:p>
        </w:tc>
        <w:tc>
          <w:tcPr>
            <w:tcW w:type="dxa" w:w="2059"/>
            <w:shd w:val="clear" w:color="auto" w:fill="C9A227"/>
            <w:tcMar>
              <w:top w:w="80" w:type="dxa"/>
              <w:bottom w:w="80" w:type="dxa"/>
              <w:start w:w="100" w:type="dxa"/>
              <w:end w:w="140" w:type="dxa"/>
              <w:left w:w="100" w:type="dxa"/>
              <w:right w:w="140" w:type="dxa"/>
            </w:tcMar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1B2A4A"/>
                <w:sz w:val="19"/>
              </w:rPr>
              <w:t>2 horas (120 min)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EEF2FA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Objetivo da aula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Integrar tudo numa simulação completa, com oratória diplomática e resposta a problemas-surpresa, incluindo crises de financiamento.</w:t>
            </w:r>
          </w:p>
        </w:tc>
      </w:tr>
    </w:tbl>
    <w:p>
      <w:pPr>
        <w:spacing w:after="2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B2A4A"/>
          <w:sz w:val="19"/>
        </w:rPr>
        <w:t>Roteiro de tempo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5040"/>
        <w:gridCol w:w="5040"/>
      </w:tblGrid>
      <w:tr>
        <w:tc>
          <w:tcPr>
            <w:tcW w:type="dxa" w:w="1872"/>
            <w:shd w:val="clear" w:color="auto" w:fill="2E5AA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Tempo</w:t>
            </w:r>
          </w:p>
        </w:tc>
        <w:tc>
          <w:tcPr>
            <w:tcW w:type="dxa" w:w="7488"/>
            <w:shd w:val="clear" w:color="auto" w:fill="2E5AA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Atividade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0–15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Oratória diplomática: discurso de abertura, intervenções na GSL, direito de resposta, linguagem formal e controle do tempo.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15–30 min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Postura, protocolo e funcionamento dos comitês de crise.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30–100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Simulação completa cronometrada: cenário com um problema a resolver de ponta a ponta — da abertura à votação de uma resolução que mobiliza recursos.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100–115 min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Feedback individualizado por rubrica.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>115–120 min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Plano de evolução pós-curso e encerramento.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  <w:insideH w:val="single" w:sz="4" w:space="0" w:color="C9A227"/>
          <w:insideV w:val="single" w:sz="4" w:space="0" w:color="C9A227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9A7B16"/>
                <w:sz w:val="19"/>
              </w:rPr>
              <w:t xml:space="preserve">Atividade prática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Simulação integrada cronometrada, avaliada por rubrica (procedimento, conteúdo, negociação, oratória e documentos).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E5AAC"/>
          <w:left w:val="single" w:sz="4" w:space="0" w:color="2E5AAC"/>
          <w:bottom w:val="single" w:sz="4" w:space="0" w:color="2E5AAC"/>
          <w:right w:val="single" w:sz="4" w:space="0" w:color="2E5AAC"/>
          <w:insideH w:val="single" w:sz="4" w:space="0" w:color="2E5AAC"/>
          <w:insideV w:val="single" w:sz="4" w:space="0" w:color="2E5AAC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Entregável do aluno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Ficha de feedback + plano de estudos personalizado.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Metodologia, materiais e avaliação</w:t>
            </w:r>
          </w:p>
        </w:tc>
      </w:tr>
    </w:tbl>
    <w:p>
      <w:pPr>
        <w:spacing w:after="40"/>
      </w:pPr>
    </w:p>
    <w:p>
      <w:pPr>
        <w:spacing w:before="40" w:after="20" w:line="283" w:lineRule="auto"/>
      </w:pPr>
      <w:r>
        <w:rPr>
          <w:rFonts w:ascii="Calibri" w:hAnsi="Calibri"/>
          <w:b/>
          <w:i w:val="0"/>
          <w:color w:val="3C4250"/>
          <w:sz w:val="21"/>
        </w:rPr>
        <w:t>Metodologia.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Aprendizagem ativa: cada conceito é seguido de aplicação prática.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Estudos de caso reais (operações de paz, apelos humanitários, resoluções históricas).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Simulações progressivas, de micro-exercícios à simulação integrada final.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Feedback contínuo por rubrica (procedimento, conteúdo, negociação, oratória, documentos).</w:t>
      </w:r>
    </w:p>
    <w:p>
      <w:pPr>
        <w:spacing w:after="60"/>
      </w:pPr>
    </w:p>
    <w:p>
      <w:pPr>
        <w:spacing w:before="40" w:after="20" w:line="283" w:lineRule="auto"/>
      </w:pPr>
      <w:r>
        <w:rPr>
          <w:rFonts w:ascii="Calibri" w:hAnsi="Calibri"/>
          <w:b/>
          <w:i w:val="0"/>
          <w:color w:val="3C4250"/>
          <w:sz w:val="21"/>
        </w:rPr>
        <w:t>Materiais.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Carta das Nações Unidas e regimento-modelo de MUN (Rules of Procedure).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Modelos comentados de position paper, working paper e draft resolution.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Glossário ONU/MUN (PT-BR / EN) e lista de fontes oficiais de pesquisa.</w:t>
      </w:r>
    </w:p>
    <w:p>
      <w:pPr>
        <w:spacing w:after="60"/>
      </w:pPr>
    </w:p>
    <w:p>
      <w:pPr>
        <w:spacing w:before="40" w:after="20" w:line="283" w:lineRule="auto"/>
      </w:pPr>
      <w:r>
        <w:rPr>
          <w:rFonts w:ascii="Calibri" w:hAnsi="Calibri"/>
          <w:b/>
          <w:i w:val="0"/>
          <w:color w:val="3C4250"/>
          <w:sz w:val="21"/>
        </w:rPr>
        <w:t>Avaliação.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Formativa: desempenho nos exercícios e entregáveis de cada aula.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Somativa: rubrica aplicada na simulação integrada final (Aula 5).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B2A4A"/>
          <w:left w:val="single" w:sz="4" w:space="0" w:color="1B2A4A"/>
          <w:bottom w:val="single" w:sz="4" w:space="0" w:color="1B2A4A"/>
          <w:right w:val="single" w:sz="4" w:space="0" w:color="1B2A4A"/>
          <w:insideH w:val="single" w:sz="4" w:space="0" w:color="1B2A4A"/>
          <w:insideV w:val="single" w:sz="4" w:space="0" w:color="1B2A4A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1B2A4A"/>
                <w:sz w:val="19"/>
              </w:rPr>
              <w:t xml:space="preserve">Resultado esperado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Ao concluir, o estudante chega à simulação sabendo não apenas o que é a ONU, mas como usá-la: escolhe o órgão certo, domina o procedimento, redige documentos sólidos, negocia com método e sabe mobilizar e obter recursos para suas propostas.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864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3B2"/>
        <w:sz w:val="16"/>
      </w:rPr>
      <w:t xml:space="preserve">Aluizio Pires · Educação  ·  [e-mail]  ·  [telefone/WhatsApp]  ·  [site]   —   página </w:t>
    </w:r>
    <w:fldSimple w:instr="PAGE">
      <w:r>
        <w:rPr>
          <w:sz w:val="16"/>
        </w:rPr>
        <w:t>1</w:t>
      </w:r>
    </w:fldSimple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C42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