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79" w:lineRule="auto" w:before="66"/>
        <w:ind w:left="460" w:right="116" w:hanging="360"/>
        <w:jc w:val="both"/>
        <w:rPr>
          <w:sz w:val="24"/>
        </w:rPr>
      </w:pPr>
      <w:r>
        <w:rPr>
          <w:b/>
          <w:i/>
          <w:sz w:val="24"/>
        </w:rPr>
        <w:t>-</w:t>
      </w:r>
      <w:r>
        <w:rPr>
          <w:b/>
          <w:i/>
          <w:spacing w:val="93"/>
          <w:sz w:val="24"/>
        </w:rPr>
        <w:t> </w:t>
      </w:r>
      <w:hyperlink r:id="rId6">
        <w:r>
          <w:rPr>
            <w:b/>
            <w:i/>
            <w:color w:val="800080"/>
            <w:sz w:val="24"/>
            <w:highlight w:val="yellow"/>
            <w:u w:val="single" w:color="800080"/>
          </w:rPr>
          <w:t>ECOFIN (Comitê Econômico e Financeiro):</w:t>
        </w:r>
      </w:hyperlink>
      <w:r>
        <w:rPr>
          <w:b/>
          <w:i/>
          <w:color w:val="800080"/>
          <w:sz w:val="24"/>
          <w:u w:val="none"/>
        </w:rPr>
        <w:t> </w:t>
      </w:r>
      <w:r>
        <w:rPr>
          <w:color w:val="000000"/>
          <w:sz w:val="24"/>
          <w:u w:val="none"/>
        </w:rPr>
        <w:t>O ECOFIN é um comitê da Assembleia Geral da ONU que aborda questões econômicas e financeiras globais. No contexto do</w:t>
      </w:r>
    </w:p>
    <w:p>
      <w:pPr>
        <w:spacing w:line="379" w:lineRule="auto" w:before="66"/>
        <w:ind w:left="460" w:right="118" w:firstLine="0"/>
        <w:jc w:val="both"/>
        <w:rPr>
          <w:sz w:val="24"/>
        </w:rPr>
      </w:pPr>
      <w:r>
        <w:rPr>
          <w:sz w:val="24"/>
        </w:rPr>
        <w:t>Ártico, o ECOFIN deve discutir as implicações econômicas da exploração de recursos na região, como petróleo, gás e minerais, e avaliar como essas atividades podem impactar as economias dos países envolvidos e o comércio global. O comitê também deve considerar o financiamento de iniciativas de desenvolvimento sustentável e a proteção ambiental no Ártico, promovendo um equilíbrio entre exploração econômica</w:t>
      </w:r>
      <w:r>
        <w:rPr>
          <w:spacing w:val="40"/>
          <w:sz w:val="24"/>
        </w:rPr>
        <w:t> </w:t>
      </w:r>
      <w:r>
        <w:rPr>
          <w:sz w:val="24"/>
        </w:rPr>
        <w:t>e conservação.</w:t>
      </w:r>
    </w:p>
    <w:p>
      <w:pPr>
        <w:pStyle w:val="BodyText"/>
        <w:spacing w:before="209"/>
        <w:ind w:left="0" w:firstLine="0"/>
        <w:jc w:val="left"/>
        <w:rPr>
          <w:b w:val="0"/>
        </w:rPr>
      </w:pPr>
    </w:p>
    <w:p>
      <w:pPr>
        <w:spacing w:before="0"/>
        <w:ind w:left="460" w:right="0" w:firstLine="0"/>
        <w:jc w:val="both"/>
        <w:rPr>
          <w:b/>
          <w:i/>
          <w:sz w:val="24"/>
        </w:rPr>
      </w:pPr>
      <w:r>
        <w:rPr>
          <w:b/>
          <w:i/>
          <w:sz w:val="24"/>
        </w:rPr>
        <w:t>PERGUNTAS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QUE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DEVEM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SER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RESPONDIDAS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PELO</w:t>
      </w:r>
      <w:r>
        <w:rPr>
          <w:b/>
          <w:i/>
          <w:spacing w:val="-9"/>
          <w:sz w:val="24"/>
        </w:rPr>
        <w:t> </w:t>
      </w:r>
      <w:r>
        <w:rPr>
          <w:b/>
          <w:i/>
          <w:spacing w:val="-2"/>
          <w:sz w:val="24"/>
        </w:rPr>
        <w:t>COMITÊ:</w:t>
      </w:r>
    </w:p>
    <w:p>
      <w:pPr>
        <w:pStyle w:val="BodyText"/>
        <w:ind w:left="0" w:firstLine="0"/>
        <w:jc w:val="left"/>
        <w:rPr>
          <w:i/>
        </w:rPr>
      </w:pPr>
    </w:p>
    <w:p>
      <w:pPr>
        <w:pStyle w:val="BodyText"/>
        <w:spacing w:before="101"/>
        <w:ind w:left="0" w:firstLine="0"/>
        <w:jc w:val="lef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9" w:lineRule="auto" w:before="0" w:after="0"/>
        <w:ind w:left="460" w:right="121" w:hanging="360"/>
        <w:jc w:val="both"/>
        <w:rPr>
          <w:b/>
          <w:sz w:val="24"/>
        </w:rPr>
      </w:pPr>
      <w:r>
        <w:rPr>
          <w:b/>
          <w:sz w:val="24"/>
        </w:rPr>
        <w:t>Como garantir que a realização de pesquisas científicas não seja um subterfúgio para a exploração econômica da região?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9" w:lineRule="auto" w:before="4" w:after="0"/>
        <w:ind w:left="460" w:right="119" w:hanging="360"/>
        <w:jc w:val="both"/>
        <w:rPr>
          <w:b/>
          <w:sz w:val="24"/>
        </w:rPr>
      </w:pPr>
      <w:r>
        <w:rPr>
          <w:b/>
          <w:sz w:val="24"/>
        </w:rPr>
        <w:t>Seria proveitoso à comunidade internacional rever suas políticas e passar a permitir a exploração mineral da região? Se sim, como seria a divisão desses </w:t>
      </w:r>
      <w:r>
        <w:rPr>
          <w:b/>
          <w:spacing w:val="-2"/>
          <w:sz w:val="24"/>
        </w:rPr>
        <w:t>recursos?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9" w:lineRule="auto" w:before="0" w:after="0"/>
        <w:ind w:left="460" w:right="125" w:hanging="360"/>
        <w:jc w:val="both"/>
        <w:rPr>
          <w:b/>
          <w:sz w:val="24"/>
        </w:rPr>
      </w:pPr>
      <w:r>
        <w:rPr>
          <w:b/>
          <w:sz w:val="24"/>
        </w:rPr>
        <w:t>Quais são os impactos econômico-financeiros do turismo na região? Esse deve ser incentivado ou desincentivado?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6" w:lineRule="auto" w:before="0" w:after="0"/>
        <w:ind w:left="460" w:right="133" w:hanging="360"/>
        <w:jc w:val="both"/>
        <w:rPr>
          <w:b/>
          <w:sz w:val="24"/>
        </w:rPr>
      </w:pPr>
      <w:r>
        <w:rPr>
          <w:b/>
          <w:sz w:val="24"/>
        </w:rPr>
        <w:t>Como conciliar a importância econômica da pesca na região com as diretrizes ambientais do Direito Internacional?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6" w:lineRule="auto" w:before="0" w:after="0"/>
        <w:ind w:left="460" w:right="121" w:hanging="360"/>
        <w:jc w:val="both"/>
        <w:rPr>
          <w:b/>
          <w:sz w:val="24"/>
        </w:rPr>
      </w:pPr>
      <w:r>
        <w:rPr>
          <w:b/>
          <w:sz w:val="24"/>
        </w:rPr>
        <w:t>Como lidar com os possíveis impactos da exploração mineral no Ártico na cadeia produtiva mineradora global?</w:t>
      </w:r>
    </w:p>
    <w:sectPr>
      <w:footerReference w:type="default" r:id="rId5"/>
      <w:type w:val="continuous"/>
      <w:pgSz w:w="11940" w:h="16860"/>
      <w:pgMar w:header="0" w:footer="497" w:top="1300" w:bottom="680" w:left="1680" w:right="12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b w:val="0"/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6804152</wp:posOffset>
              </wp:positionH>
              <wp:positionV relativeFrom="page">
                <wp:posOffset>10244909</wp:posOffset>
              </wp:positionV>
              <wp:extent cx="175260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52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5.76001pt;margin-top:806.685791pt;width:13.8pt;height:14.35pt;mso-position-horizontal-relative:page;mso-position-vertical-relative:page;z-index:-1575168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5"/>
                        <w:sz w:val="22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6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6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1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460" w:hanging="360"/>
      <w:jc w:val="both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60" w:right="121" w:hanging="360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un.org/en/ga/second/index.shtm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2024-11-28T12:56:09Z</dcterms:created>
  <dcterms:modified xsi:type="dcterms:W3CDTF">2024-11-28T12:56:09Z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Adobe Acrobat Pro (64-bit) 24.4.20272</vt:lpwstr>
  </property>
  <property fmtid="{D5CDD505-2E9C-101B-9397-08002B2CF9AE}" pid="4" name="LastSaved">
    <vt:filetime>2024-11-28T00:00:00Z</vt:filetime>
  </property>
  <property fmtid="{D5CDD505-2E9C-101B-9397-08002B2CF9AE}" pid="5" name="Producer">
    <vt:lpwstr>Adobe Acrobat Pro (64-bit) 24.4.20272</vt:lpwstr>
  </property>
</Properties>
</file>