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79" w:lineRule="auto" w:before="66"/>
        <w:ind w:left="460" w:right="694" w:hanging="360"/>
        <w:jc w:val="both"/>
        <w:rPr>
          <w:sz w:val="24"/>
        </w:rPr>
      </w:pPr>
      <w:r>
        <w:rPr>
          <w:b/>
          <w:i/>
          <w:sz w:val="24"/>
        </w:rPr>
        <w:t>-</w:t>
      </w:r>
      <w:r>
        <w:rPr>
          <w:b/>
          <w:i/>
          <w:spacing w:val="79"/>
          <w:sz w:val="24"/>
        </w:rPr>
        <w:t> </w:t>
      </w:r>
      <w:hyperlink r:id="rId5">
        <w:r>
          <w:rPr>
            <w:b/>
            <w:i/>
            <w:color w:val="0000FF"/>
            <w:sz w:val="24"/>
            <w:highlight w:val="yellow"/>
            <w:u w:val="single" w:color="0000FF"/>
          </w:rPr>
          <w:t>PNUMA (Programa</w:t>
        </w:r>
        <w:r>
          <w:rPr>
            <w:b/>
            <w:i/>
            <w:color w:val="0000FF"/>
            <w:spacing w:val="-2"/>
            <w:sz w:val="24"/>
            <w:highlight w:val="yellow"/>
            <w:u w:val="single" w:color="0000FF"/>
          </w:rPr>
          <w:t> </w:t>
        </w:r>
        <w:r>
          <w:rPr>
            <w:b/>
            <w:i/>
            <w:color w:val="0000FF"/>
            <w:sz w:val="24"/>
            <w:highlight w:val="yellow"/>
            <w:u w:val="single" w:color="0000FF"/>
          </w:rPr>
          <w:t>das</w:t>
        </w:r>
        <w:r>
          <w:rPr>
            <w:b/>
            <w:i/>
            <w:color w:val="0000FF"/>
            <w:spacing w:val="-2"/>
            <w:sz w:val="24"/>
            <w:highlight w:val="yellow"/>
            <w:u w:val="single" w:color="0000FF"/>
          </w:rPr>
          <w:t> </w:t>
        </w:r>
        <w:r>
          <w:rPr>
            <w:b/>
            <w:i/>
            <w:color w:val="0000FF"/>
            <w:sz w:val="24"/>
            <w:highlight w:val="yellow"/>
            <w:u w:val="single" w:color="0000FF"/>
          </w:rPr>
          <w:t>Nações</w:t>
        </w:r>
        <w:r>
          <w:rPr>
            <w:b/>
            <w:i/>
            <w:color w:val="0000FF"/>
            <w:spacing w:val="-2"/>
            <w:sz w:val="24"/>
            <w:highlight w:val="yellow"/>
            <w:u w:val="single" w:color="0000FF"/>
          </w:rPr>
          <w:t> </w:t>
        </w:r>
        <w:r>
          <w:rPr>
            <w:b/>
            <w:i/>
            <w:color w:val="0000FF"/>
            <w:sz w:val="24"/>
            <w:highlight w:val="yellow"/>
            <w:u w:val="single" w:color="0000FF"/>
          </w:rPr>
          <w:t>Unidas</w:t>
        </w:r>
        <w:r>
          <w:rPr>
            <w:b/>
            <w:i/>
            <w:color w:val="0000FF"/>
            <w:spacing w:val="-2"/>
            <w:sz w:val="24"/>
            <w:highlight w:val="yellow"/>
            <w:u w:val="single" w:color="0000FF"/>
          </w:rPr>
          <w:t> </w:t>
        </w:r>
        <w:r>
          <w:rPr>
            <w:b/>
            <w:i/>
            <w:color w:val="0000FF"/>
            <w:sz w:val="24"/>
            <w:highlight w:val="yellow"/>
            <w:u w:val="single" w:color="0000FF"/>
          </w:rPr>
          <w:t>para</w:t>
        </w:r>
        <w:r>
          <w:rPr>
            <w:b/>
            <w:i/>
            <w:color w:val="0000FF"/>
            <w:spacing w:val="-2"/>
            <w:sz w:val="24"/>
            <w:highlight w:val="yellow"/>
            <w:u w:val="single" w:color="0000FF"/>
          </w:rPr>
          <w:t> </w:t>
        </w:r>
        <w:r>
          <w:rPr>
            <w:b/>
            <w:i/>
            <w:color w:val="0000FF"/>
            <w:sz w:val="24"/>
            <w:highlight w:val="yellow"/>
            <w:u w:val="single" w:color="0000FF"/>
          </w:rPr>
          <w:t>o Meio</w:t>
        </w:r>
        <w:r>
          <w:rPr>
            <w:b/>
            <w:i/>
            <w:color w:val="0000FF"/>
            <w:spacing w:val="-2"/>
            <w:sz w:val="24"/>
            <w:highlight w:val="yellow"/>
            <w:u w:val="single" w:color="0000FF"/>
          </w:rPr>
          <w:t> </w:t>
        </w:r>
        <w:r>
          <w:rPr>
            <w:b/>
            <w:i/>
            <w:color w:val="0000FF"/>
            <w:sz w:val="24"/>
            <w:highlight w:val="yellow"/>
            <w:u w:val="single" w:color="0000FF"/>
          </w:rPr>
          <w:t>Ambiente</w:t>
        </w:r>
      </w:hyperlink>
      <w:r>
        <w:rPr>
          <w:b/>
          <w:i/>
          <w:color w:val="000000"/>
          <w:sz w:val="24"/>
          <w:highlight w:val="yellow"/>
          <w:u w:val="none"/>
        </w:rPr>
        <w:t>):</w:t>
      </w:r>
      <w:r>
        <w:rPr>
          <w:b/>
          <w:i/>
          <w:color w:val="000000"/>
          <w:spacing w:val="-2"/>
          <w:sz w:val="24"/>
          <w:u w:val="none"/>
        </w:rPr>
        <w:t> </w:t>
      </w:r>
      <w:r>
        <w:rPr>
          <w:color w:val="000000"/>
          <w:sz w:val="24"/>
          <w:u w:val="none"/>
        </w:rPr>
        <w:t>O</w:t>
      </w:r>
      <w:r>
        <w:rPr>
          <w:color w:val="000000"/>
          <w:spacing w:val="-3"/>
          <w:sz w:val="24"/>
          <w:u w:val="none"/>
        </w:rPr>
        <w:t> </w:t>
      </w:r>
      <w:r>
        <w:rPr>
          <w:color w:val="000000"/>
          <w:sz w:val="24"/>
          <w:u w:val="none"/>
        </w:rPr>
        <w:t>PNUMA</w:t>
      </w:r>
      <w:r>
        <w:rPr>
          <w:color w:val="000000"/>
          <w:spacing w:val="-3"/>
          <w:sz w:val="24"/>
          <w:u w:val="none"/>
        </w:rPr>
        <w:t> </w:t>
      </w:r>
      <w:r>
        <w:rPr>
          <w:color w:val="000000"/>
          <w:sz w:val="24"/>
          <w:u w:val="none"/>
        </w:rPr>
        <w:t>é</w:t>
      </w:r>
      <w:r>
        <w:rPr>
          <w:color w:val="000000"/>
          <w:spacing w:val="-3"/>
          <w:sz w:val="24"/>
          <w:u w:val="none"/>
        </w:rPr>
        <w:t> </w:t>
      </w:r>
      <w:r>
        <w:rPr>
          <w:color w:val="000000"/>
          <w:sz w:val="24"/>
          <w:u w:val="none"/>
        </w:rPr>
        <w:t>o</w:t>
      </w:r>
      <w:r>
        <w:rPr>
          <w:color w:val="000000"/>
          <w:spacing w:val="35"/>
          <w:sz w:val="24"/>
          <w:u w:val="none"/>
        </w:rPr>
        <w:t> </w:t>
      </w:r>
      <w:r>
        <w:rPr>
          <w:color w:val="000000"/>
          <w:sz w:val="24"/>
          <w:u w:val="none"/>
        </w:rPr>
        <w:t>órgão da ONU responsável por promover a proteção do meio ambiente e incentivar o desenvolvimento sustentável em nível global. A importância do PNUMA no contexto do Ártico é imensa, pois a região está enfrentando impactos severos das mudanças climáticas, que afetam tanto os ecossistemas locais quanto o clima global. O PNUMA apoia a pesquisa sobre os impactos ambientais da exploração de recursos no Ártico e promove políticas de preservação e proteção ambiental. A atuação do PNUMA é essencial para garantir que as iniciativas de exploração no Ártico considerem os impactos ambientais e busquem soluções sustentáveis.</w:t>
      </w:r>
    </w:p>
    <w:p>
      <w:pPr>
        <w:pStyle w:val="BodyText"/>
        <w:spacing w:before="203"/>
        <w:ind w:left="0"/>
        <w:rPr>
          <w:b w:val="0"/>
        </w:rPr>
      </w:pPr>
    </w:p>
    <w:p>
      <w:pPr>
        <w:spacing w:before="1"/>
        <w:ind w:left="460" w:right="0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PERGUNTAS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QUE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DEVEM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SER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RESPONDIDAS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PELO</w:t>
      </w:r>
      <w:r>
        <w:rPr>
          <w:b/>
          <w:i/>
          <w:spacing w:val="-9"/>
          <w:sz w:val="24"/>
        </w:rPr>
        <w:t> </w:t>
      </w:r>
      <w:r>
        <w:rPr>
          <w:b/>
          <w:i/>
          <w:spacing w:val="-2"/>
          <w:sz w:val="24"/>
        </w:rPr>
        <w:t>COMITÊ: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170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9" w:lineRule="auto" w:before="0" w:after="0"/>
        <w:ind w:left="460" w:right="697" w:hanging="360"/>
        <w:jc w:val="both"/>
        <w:rPr>
          <w:b/>
          <w:sz w:val="24"/>
        </w:rPr>
      </w:pPr>
      <w:r>
        <w:rPr>
          <w:b/>
          <w:sz w:val="24"/>
        </w:rPr>
        <w:t>Quais serão as ações da comunidade internacional no combate ao aquecimento global, de modo a mitigar seus impactos ao ecossistema ártico e suas comunidades? Como a cooperação global deve ser inserida neste contexto?</w:t>
      </w:r>
    </w:p>
    <w:p>
      <w:pPr>
        <w:spacing w:before="67"/>
        <w:ind w:left="460" w:right="0" w:firstLine="0"/>
        <w:jc w:val="both"/>
        <w:rPr>
          <w:sz w:val="24"/>
        </w:rPr>
      </w:pPr>
      <w:r>
        <w:rPr>
          <w:color w:val="001F4F"/>
          <w:spacing w:val="-2"/>
          <w:sz w:val="24"/>
        </w:rPr>
        <w:t>Uma</w:t>
      </w:r>
      <w:r>
        <w:rPr>
          <w:color w:val="001F4F"/>
          <w:spacing w:val="-12"/>
          <w:sz w:val="24"/>
        </w:rPr>
        <w:t> </w:t>
      </w:r>
      <w:r>
        <w:rPr>
          <w:color w:val="001F4F"/>
          <w:spacing w:val="-2"/>
          <w:sz w:val="24"/>
        </w:rPr>
        <w:t>possível</w:t>
      </w:r>
      <w:r>
        <w:rPr>
          <w:color w:val="001F4F"/>
          <w:spacing w:val="-3"/>
          <w:sz w:val="24"/>
        </w:rPr>
        <w:t> </w:t>
      </w:r>
      <w:r>
        <w:rPr>
          <w:color w:val="001F4F"/>
          <w:spacing w:val="-2"/>
          <w:sz w:val="24"/>
        </w:rPr>
        <w:t>resposta:</w:t>
      </w:r>
    </w:p>
    <w:p>
      <w:pPr>
        <w:pStyle w:val="BodyText"/>
        <w:spacing w:line="379" w:lineRule="auto" w:before="226"/>
        <w:ind w:right="1212"/>
      </w:pPr>
      <w:hyperlink r:id="rId6">
        <w:r>
          <w:rPr>
            <w:color w:val="0000BD"/>
            <w:spacing w:val="-2"/>
            <w:u w:val="single" w:color="0000BD"/>
          </w:rPr>
          <w:t>https://www.unep.org/news-and-stories/press-release/nations-must-close-huge-</w:t>
        </w:r>
      </w:hyperlink>
      <w:r>
        <w:rPr>
          <w:color w:val="0000BD"/>
          <w:spacing w:val="-2"/>
          <w:u w:val="none"/>
        </w:rPr>
        <w:t> </w:t>
      </w:r>
      <w:hyperlink r:id="rId6">
        <w:r>
          <w:rPr>
            <w:color w:val="0000BD"/>
            <w:spacing w:val="-2"/>
            <w:u w:val="single" w:color="0000BD"/>
          </w:rPr>
          <w:t>emissions-gap-new-climate-pledges-and</w:t>
        </w:r>
      </w:hyperlink>
    </w:p>
    <w:p>
      <w:pPr>
        <w:pStyle w:val="BodyText"/>
        <w:spacing w:before="109"/>
        <w:ind w:left="0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b/>
          <w:sz w:val="24"/>
        </w:rPr>
      </w:pPr>
      <w:r>
        <w:rPr>
          <w:b/>
          <w:sz w:val="24"/>
        </w:rPr>
        <w:t>Como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conscientizar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população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urgência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climática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vivida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pela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região?</w:t>
      </w:r>
    </w:p>
    <w:p>
      <w:pPr>
        <w:spacing w:before="159"/>
        <w:ind w:left="460" w:right="0" w:firstLine="0"/>
        <w:jc w:val="left"/>
        <w:rPr>
          <w:sz w:val="24"/>
        </w:rPr>
      </w:pPr>
      <w:r>
        <w:rPr>
          <w:color w:val="001F4F"/>
          <w:spacing w:val="-2"/>
          <w:sz w:val="24"/>
        </w:rPr>
        <w:t>Uma</w:t>
      </w:r>
      <w:r>
        <w:rPr>
          <w:color w:val="001F4F"/>
          <w:spacing w:val="-12"/>
          <w:sz w:val="24"/>
        </w:rPr>
        <w:t> </w:t>
      </w:r>
      <w:r>
        <w:rPr>
          <w:color w:val="001F4F"/>
          <w:spacing w:val="-2"/>
          <w:sz w:val="24"/>
        </w:rPr>
        <w:t>possível</w:t>
      </w:r>
      <w:r>
        <w:rPr>
          <w:color w:val="001F4F"/>
          <w:spacing w:val="-3"/>
          <w:sz w:val="24"/>
        </w:rPr>
        <w:t> </w:t>
      </w:r>
      <w:r>
        <w:rPr>
          <w:color w:val="001F4F"/>
          <w:spacing w:val="-2"/>
          <w:sz w:val="24"/>
        </w:rPr>
        <w:t>resposta:</w:t>
      </w:r>
    </w:p>
    <w:p>
      <w:pPr>
        <w:pStyle w:val="BodyText"/>
        <w:spacing w:before="161"/>
      </w:pPr>
      <w:hyperlink r:id="rId7">
        <w:r>
          <w:rPr>
            <w:color w:val="0000FF"/>
            <w:spacing w:val="-4"/>
            <w:u w:val="single" w:color="0000FF"/>
          </w:rPr>
          <w:t>https://www.unep.org/resources/emerging-issues/shrinking-arctic-sea-</w:t>
        </w:r>
        <w:r>
          <w:rPr>
            <w:color w:val="0000FF"/>
            <w:spacing w:val="-5"/>
            <w:u w:val="single" w:color="0000FF"/>
          </w:rPr>
          <w:t>ice</w:t>
        </w:r>
      </w:hyperlink>
    </w:p>
    <w:p>
      <w:pPr>
        <w:pStyle w:val="BodyText"/>
        <w:ind w:left="0"/>
      </w:pPr>
    </w:p>
    <w:p>
      <w:pPr>
        <w:pStyle w:val="BodyText"/>
        <w:spacing w:before="40"/>
        <w:ind w:left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79" w:lineRule="auto" w:before="0" w:after="0"/>
        <w:ind w:left="460" w:right="697" w:firstLine="0"/>
        <w:jc w:val="both"/>
        <w:rPr>
          <w:b/>
          <w:sz w:val="24"/>
        </w:rPr>
      </w:pPr>
      <w:r>
        <w:rPr>
          <w:b/>
          <w:sz w:val="24"/>
        </w:rPr>
        <w:t>É coerente o incentivo à exploração de recursos energéticos fósseis em paralelo aos esforços para a transição energética? Se sim, como estabelecer a extração de hidrocarbonetos em concordância com a segurança ambiental do </w:t>
      </w:r>
      <w:r>
        <w:rPr>
          <w:b/>
          <w:spacing w:val="-2"/>
          <w:sz w:val="24"/>
        </w:rPr>
        <w:t>Ártico?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0" w:after="0"/>
        <w:ind w:left="460" w:right="697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Como</w:t>
      </w:r>
      <w:r>
        <w:rPr>
          <w:b/>
          <w:spacing w:val="72"/>
          <w:sz w:val="24"/>
        </w:rPr>
        <w:t> </w:t>
      </w:r>
      <w:r>
        <w:rPr>
          <w:b/>
          <w:sz w:val="24"/>
        </w:rPr>
        <w:t>viabilizar</w:t>
      </w:r>
      <w:r>
        <w:rPr>
          <w:b/>
          <w:spacing w:val="7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72"/>
          <w:sz w:val="24"/>
        </w:rPr>
        <w:t> </w:t>
      </w:r>
      <w:r>
        <w:rPr>
          <w:b/>
          <w:sz w:val="24"/>
        </w:rPr>
        <w:t>exploração</w:t>
      </w:r>
      <w:r>
        <w:rPr>
          <w:b/>
          <w:spacing w:val="72"/>
          <w:sz w:val="24"/>
        </w:rPr>
        <w:t> </w:t>
      </w:r>
      <w:r>
        <w:rPr>
          <w:b/>
          <w:sz w:val="24"/>
        </w:rPr>
        <w:t>sustentável</w:t>
      </w:r>
      <w:r>
        <w:rPr>
          <w:b/>
          <w:spacing w:val="7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71"/>
          <w:sz w:val="24"/>
        </w:rPr>
        <w:t> </w:t>
      </w:r>
      <w:r>
        <w:rPr>
          <w:b/>
          <w:sz w:val="24"/>
        </w:rPr>
        <w:t>recursos</w:t>
      </w:r>
      <w:r>
        <w:rPr>
          <w:b/>
          <w:spacing w:val="73"/>
          <w:sz w:val="24"/>
        </w:rPr>
        <w:t> </w:t>
      </w:r>
      <w:r>
        <w:rPr>
          <w:b/>
          <w:sz w:val="24"/>
        </w:rPr>
        <w:t>minerais</w:t>
      </w:r>
      <w:r>
        <w:rPr>
          <w:b/>
          <w:spacing w:val="73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72"/>
          <w:sz w:val="24"/>
        </w:rPr>
        <w:t> </w:t>
      </w:r>
      <w:r>
        <w:rPr>
          <w:b/>
          <w:sz w:val="24"/>
        </w:rPr>
        <w:t>região,</w:t>
      </w:r>
      <w:r>
        <w:rPr>
          <w:b/>
          <w:spacing w:val="72"/>
          <w:sz w:val="24"/>
        </w:rPr>
        <w:t> </w:t>
      </w:r>
      <w:r>
        <w:rPr>
          <w:b/>
          <w:sz w:val="24"/>
        </w:rPr>
        <w:t>a exemplo de “terras raras”, cada vez mais requisitados? </w:t>
      </w:r>
      <w:hyperlink r:id="rId8">
        <w:r>
          <w:rPr>
            <w:rFonts w:ascii="Arial" w:hAnsi="Arial"/>
            <w:b/>
            <w:color w:val="0000FF"/>
            <w:spacing w:val="-2"/>
            <w:sz w:val="24"/>
            <w:u w:val="single" w:color="0000FF"/>
          </w:rPr>
          <w:t>https://www.wilsoncenter.org/article/critical-minerals-arctic-forging-path-</w:t>
        </w:r>
      </w:hyperlink>
      <w:r>
        <w:rPr>
          <w:rFonts w:ascii="Arial" w:hAnsi="Arial"/>
          <w:b/>
          <w:color w:val="0000FF"/>
          <w:spacing w:val="-2"/>
          <w:sz w:val="24"/>
          <w:u w:val="none"/>
        </w:rPr>
        <w:t> </w:t>
      </w:r>
      <w:hyperlink r:id="rId8">
        <w:r>
          <w:rPr>
            <w:rFonts w:ascii="Arial" w:hAnsi="Arial"/>
            <w:b/>
            <w:color w:val="0000FF"/>
            <w:spacing w:val="-2"/>
            <w:sz w:val="24"/>
            <w:u w:val="single" w:color="0000FF"/>
          </w:rPr>
          <w:t>forward</w:t>
        </w:r>
      </w:hyperlink>
    </w:p>
    <w:p>
      <w:pPr>
        <w:pStyle w:val="ListParagraph"/>
        <w:numPr>
          <w:ilvl w:val="0"/>
          <w:numId w:val="1"/>
        </w:numPr>
        <w:tabs>
          <w:tab w:pos="460" w:val="left" w:leader="none"/>
          <w:tab w:pos="1286" w:val="left" w:leader="none"/>
          <w:tab w:pos="1617" w:val="left" w:leader="none"/>
          <w:tab w:pos="3083" w:val="left" w:leader="none"/>
          <w:tab w:pos="4655" w:val="left" w:leader="none"/>
          <w:tab w:pos="5164" w:val="left" w:leader="none"/>
          <w:tab w:pos="6403" w:val="left" w:leader="none"/>
          <w:tab w:pos="7509" w:val="left" w:leader="none"/>
          <w:tab w:pos="8644" w:val="left" w:leader="none"/>
          <w:tab w:pos="8975" w:val="left" w:leader="none"/>
        </w:tabs>
        <w:spacing w:line="273" w:lineRule="exact" w:before="0" w:after="0"/>
        <w:ind w:left="46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Como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comunidade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internacional</w:t>
      </w:r>
      <w:r>
        <w:rPr>
          <w:b/>
          <w:sz w:val="24"/>
        </w:rPr>
        <w:tab/>
      </w:r>
      <w:r>
        <w:rPr>
          <w:b/>
          <w:spacing w:val="-5"/>
          <w:sz w:val="24"/>
        </w:rPr>
        <w:t>irá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contornar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possíveis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impactos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à</w:t>
      </w:r>
      <w:r>
        <w:rPr>
          <w:b/>
          <w:sz w:val="24"/>
        </w:rPr>
        <w:tab/>
      </w:r>
      <w:r>
        <w:rPr>
          <w:b/>
          <w:spacing w:val="-4"/>
          <w:sz w:val="24"/>
        </w:rPr>
        <w:t>rede</w:t>
      </w:r>
    </w:p>
    <w:p>
      <w:pPr>
        <w:pStyle w:val="BodyText"/>
        <w:spacing w:before="156"/>
      </w:pPr>
      <w:r>
        <w:rPr/>
        <w:t>minerária</w:t>
      </w:r>
      <w:r>
        <w:rPr>
          <w:spacing w:val="-3"/>
        </w:rPr>
        <w:t> </w:t>
      </w:r>
      <w:r>
        <w:rPr/>
        <w:t>global,</w:t>
      </w:r>
      <w:r>
        <w:rPr>
          <w:spacing w:val="-2"/>
        </w:rPr>
        <w:t> </w:t>
      </w:r>
      <w:r>
        <w:rPr/>
        <w:t>especialmente</w:t>
      </w:r>
      <w:r>
        <w:rPr>
          <w:spacing w:val="-3"/>
        </w:rPr>
        <w:t> </w:t>
      </w:r>
      <w:r>
        <w:rPr/>
        <w:t>em</w:t>
      </w:r>
      <w:r>
        <w:rPr>
          <w:spacing w:val="-1"/>
        </w:rPr>
        <w:t> </w:t>
      </w:r>
      <w:r>
        <w:rPr/>
        <w:t>áreas</w:t>
      </w:r>
      <w:r>
        <w:rPr>
          <w:spacing w:val="-3"/>
        </w:rPr>
        <w:t> </w:t>
      </w:r>
      <w:r>
        <w:rPr/>
        <w:t>periféricas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dependentes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setor?</w:t>
      </w:r>
    </w:p>
    <w:p>
      <w:pPr>
        <w:spacing w:line="247" w:lineRule="exact" w:before="0"/>
        <w:ind w:left="0" w:right="257" w:firstLine="0"/>
        <w:jc w:val="right"/>
        <w:rPr>
          <w:rFonts w:ascii="Arial"/>
          <w:sz w:val="22"/>
        </w:rPr>
      </w:pPr>
      <w:r>
        <w:rPr>
          <w:rFonts w:ascii="Arial"/>
          <w:spacing w:val="-5"/>
          <w:sz w:val="22"/>
        </w:rPr>
        <w:t>23</w:t>
      </w:r>
    </w:p>
    <w:sectPr>
      <w:type w:val="continuous"/>
      <w:pgSz w:w="11940" w:h="16860"/>
      <w:pgMar w:top="1300" w:bottom="280" w:left="168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7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9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2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32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460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60" w:right="697" w:hanging="36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unep.org/pt-br/who-we-are/about-us#%3A%7E%3Atext%3DFlauraud%20for%20SAYPE-%2CO%20Programa%20das%20Na%C3%A7%C3%B5es%20Unidas%20para%20o%20Meio%20Ambiente%20(PNUMA%2Ccomprometer%20a%20das%20gera%C3%A7%C3%B5es%20futuras" TargetMode="External"/><Relationship Id="rId6" Type="http://schemas.openxmlformats.org/officeDocument/2006/relationships/hyperlink" Target="https://www.unep.org/news-and-stories/press-release/nations-must-close-huge-emissions-gap-new-climate-pledges-and" TargetMode="External"/><Relationship Id="rId7" Type="http://schemas.openxmlformats.org/officeDocument/2006/relationships/hyperlink" Target="https://www.unep.org/resources/emerging-issues/shrinking-arctic-sea-ice" TargetMode="External"/><Relationship Id="rId8" Type="http://schemas.openxmlformats.org/officeDocument/2006/relationships/hyperlink" Target="https://www.wilsoncenter.org/article/critical-minerals-arctic-forging-path-forward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2024-11-28T12:58:03Z</dcterms:created>
  <dcterms:modified xsi:type="dcterms:W3CDTF">2024-11-28T12:58:03Z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Adobe Acrobat Pro (64-bit) 24.4.20272</vt:lpwstr>
  </property>
  <property fmtid="{D5CDD505-2E9C-101B-9397-08002B2CF9AE}" pid="4" name="LastSaved">
    <vt:filetime>2024-11-28T00:00:00Z</vt:filetime>
  </property>
  <property fmtid="{D5CDD505-2E9C-101B-9397-08002B2CF9AE}" pid="5" name="Producer">
    <vt:lpwstr>Adobe Acrobat Pro (64-bit) 24.4.20272</vt:lpwstr>
  </property>
</Properties>
</file>