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5803"/>
            <w:shd w:val="clear" w:color="auto" w:fill="1B2A4A"/>
            <w:tcMar>
              <w:top w:w="140" w:type="dxa"/>
              <w:bottom w:w="140" w:type="dxa"/>
              <w:start w:w="200" w:type="dxa"/>
              <w:end w:w="120" w:type="dxa"/>
              <w:left w:w="200" w:type="dxa"/>
              <w:right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Georgia" w:hAnsi="Georgia"/>
                <w:b/>
                <w:i w:val="0"/>
                <w:color w:val="FFFFFF"/>
                <w:sz w:val="44"/>
              </w:rPr>
              <w:t>Aluizio</w:t>
            </w:r>
            <w:r>
              <w:rPr>
                <w:rFonts w:ascii="Georgia" w:hAnsi="Georgia"/>
                <w:b/>
                <w:i w:val="0"/>
                <w:color w:val="C9A227"/>
                <w:sz w:val="44"/>
              </w:rPr>
              <w:t xml:space="preserve">  Educação</w:t>
            </w:r>
          </w:p>
          <w:p>
            <w:pPr>
              <w:spacing w:before="40" w:after="0" w:line="240" w:lineRule="auto"/>
            </w:pPr>
            <w:r>
              <w:rPr>
                <w:rFonts w:ascii="Calibri" w:hAnsi="Calibri"/>
                <w:b w:val="0"/>
                <w:i/>
                <w:color w:val="C7D0E0"/>
                <w:sz w:val="18"/>
              </w:rPr>
              <w:t>Mentoria &amp; preparação acadêmica</w:t>
            </w:r>
          </w:p>
        </w:tc>
        <w:tc>
          <w:tcPr>
            <w:tcW w:type="dxa" w:w="3557"/>
            <w:shd w:val="clear" w:color="auto" w:fill="1B2A4A"/>
            <w:tcMar>
              <w:top w:w="140" w:type="dxa"/>
              <w:bottom w:w="140" w:type="dxa"/>
              <w:start w:w="120" w:type="dxa"/>
              <w:end w:w="200" w:type="dxa"/>
              <w:left w:w="120" w:type="dxa"/>
              <w:right w:w="20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C9A227"/>
                <w:sz w:val="20"/>
              </w:rPr>
              <w:t>PLANO DE CURSO</w:t>
            </w:r>
          </w:p>
          <w:p>
            <w:pPr>
              <w:spacing w:before="40" w:after="0" w:line="240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C7D0E0"/>
                <w:sz w:val="18"/>
              </w:rPr>
              <w:t>10 horas · 5 encontros</w:t>
            </w:r>
          </w:p>
        </w:tc>
      </w:tr>
    </w:tbl>
    <w:p>
      <w:pPr>
        <w:spacing w:before="280" w:after="0" w:line="252" w:lineRule="auto"/>
      </w:pPr>
      <w:r>
        <w:rPr>
          <w:rFonts w:ascii="Georgia" w:hAnsi="Georgia"/>
          <w:b/>
          <w:i w:val="0"/>
          <w:color w:val="1B2A4A"/>
          <w:sz w:val="44"/>
        </w:rPr>
        <w:t>Geopolítica Aplicada às Simulações Model UN</w:t>
      </w:r>
    </w:p>
    <w:p>
      <w:pPr>
        <w:spacing w:before="40" w:after="120" w:line="276" w:lineRule="auto"/>
      </w:pPr>
      <w:r>
        <w:rPr>
          <w:rFonts w:ascii="Calibri" w:hAnsi="Calibri"/>
          <w:b w:val="0"/>
          <w:i/>
          <w:color w:val="3C4250"/>
          <w:sz w:val="23"/>
        </w:rPr>
        <w:t>Planejamento aula por aula — dominar as estruturas da ONU e aplicá-las para resolver problemas das simulações (negociação, redação de resoluções e obtenção de fundos).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C9A227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340"/>
            <w:shd w:val="clear" w:color="auto" w:fill="EEF2FA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5"/>
              </w:rPr>
              <w:t>CARGA HORÁRIA</w:t>
            </w:r>
          </w:p>
          <w:p>
            <w:pPr>
              <w:spacing w:before="20" w:after="0" w:line="240" w:lineRule="auto"/>
            </w:pPr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10 horas</w:t>
            </w:r>
          </w:p>
        </w:tc>
        <w:tc>
          <w:tcPr>
            <w:tcW w:type="dxa" w:w="2340"/>
            <w:shd w:val="clear" w:color="auto" w:fill="EEF2FA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5"/>
              </w:rPr>
              <w:t>FORMATO</w:t>
            </w:r>
          </w:p>
          <w:p>
            <w:pPr>
              <w:spacing w:before="20" w:after="0" w:line="240" w:lineRule="auto"/>
            </w:pPr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5 encontros de 2h</w:t>
            </w:r>
          </w:p>
        </w:tc>
        <w:tc>
          <w:tcPr>
            <w:tcW w:type="dxa" w:w="2340"/>
            <w:shd w:val="clear" w:color="auto" w:fill="EEF2FA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5"/>
              </w:rPr>
              <w:t>MODALIDADE</w:t>
            </w:r>
          </w:p>
          <w:p>
            <w:pPr>
              <w:spacing w:before="20" w:after="0" w:line="240" w:lineRule="auto"/>
            </w:pPr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Individual</w:t>
            </w:r>
          </w:p>
        </w:tc>
        <w:tc>
          <w:tcPr>
            <w:tcW w:type="dxa" w:w="2340"/>
            <w:shd w:val="clear" w:color="auto" w:fill="EEF2FA"/>
            <w:tcMar>
              <w:top w:w="90" w:type="dxa"/>
              <w:bottom w:w="9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5"/>
              </w:rPr>
              <w:t>PÚBLICO</w:t>
            </w:r>
          </w:p>
          <w:p>
            <w:pPr>
              <w:spacing w:before="20" w:after="0" w:line="240" w:lineRule="auto"/>
            </w:pPr>
            <w:r>
              <w:rPr>
                <w:rFonts w:ascii="Calibri" w:hAnsi="Calibri"/>
                <w:b/>
                <w:i w:val="0"/>
                <w:color w:val="1B2A4A"/>
                <w:sz w:val="22"/>
              </w:rPr>
              <w:t>Estudante MUN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Apresentação</w:t>
            </w:r>
          </w:p>
        </w:tc>
      </w:tr>
    </w:tbl>
    <w:p>
      <w:pPr>
        <w:spacing w:after="40"/>
      </w:pPr>
    </w:p>
    <w:p>
      <w:pPr>
        <w:spacing w:before="40" w:after="80" w:line="283" w:lineRule="auto"/>
      </w:pPr>
      <w:r>
        <w:rPr>
          <w:rFonts w:ascii="Calibri" w:hAnsi="Calibri"/>
          <w:b w:val="0"/>
          <w:i w:val="0"/>
          <w:color w:val="3C4250"/>
          <w:sz w:val="21"/>
        </w:rPr>
        <w:t>Este programa prepara o estudante para atuar com estratégia em simulações Model UN. Mais do que conhecer o organograma da ONU, o objetivo é que o aluno entenda a lógica das estruturas das Nações Unidas e saiba acioná-las para resolver problemas concretos da simulação — escolher o órgão competente, negociar, redigir resoluções e, sobretudo, mobilizar e obter fundos para viabilizar suas propostas. O fio condutor é “da estrutura à ação”.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Objetivos de aprendizagem</w:t>
            </w:r>
          </w:p>
        </w:tc>
      </w:tr>
    </w:tbl>
    <w:p>
      <w:pPr>
        <w:spacing w:after="40"/>
      </w:pP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Identificar os órgãos da ONU, suas competências e seus limites.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Distinguir órgãos, programas, fundos e agências — e saber a qual recorrer.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Compreender como a ONU se financia e como obter recursos em comitê.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Dominar as regras de procedimento (moções, caucus, votação).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Redigir position paper, working paper e draft resolution.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Negociar, formar blocos e construir consenso, inclusive sob crise.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Apresentar-se com postura e oratória diplomáticas.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Cronograma das 10 horas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3360"/>
        <w:gridCol w:w="3360"/>
        <w:gridCol w:w="3360"/>
      </w:tblGrid>
      <w:tr>
        <w:tc>
          <w:tcPr>
            <w:tcW w:type="dxa" w:w="1217"/>
            <w:shd w:val="clear" w:color="auto" w:fill="1B2A4A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Aula</w:t>
            </w:r>
          </w:p>
        </w:tc>
        <w:tc>
          <w:tcPr>
            <w:tcW w:type="dxa" w:w="5803"/>
            <w:shd w:val="clear" w:color="auto" w:fill="1B2A4A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Tema central</w:t>
            </w:r>
          </w:p>
        </w:tc>
        <w:tc>
          <w:tcPr>
            <w:tcW w:type="dxa" w:w="2340"/>
            <w:shd w:val="clear" w:color="auto" w:fill="1B2A4A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Carga</w:t>
            </w:r>
          </w:p>
        </w:tc>
      </w:tr>
      <w:tr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2E5AAC"/>
                <w:sz w:val="22"/>
              </w:rPr>
              <w:t>1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O sistema ONU: arquitetura e lógica de funcionamento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2h</w:t>
            </w:r>
          </w:p>
        </w:tc>
      </w:tr>
      <w:tr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2E5AAC"/>
                <w:sz w:val="22"/>
              </w:rPr>
              <w:t>2</w:t>
            </w:r>
          </w:p>
        </w:tc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Órgãos, agências e mecanismos de financiamento</w:t>
            </w:r>
          </w:p>
        </w:tc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2h</w:t>
            </w:r>
          </w:p>
        </w:tc>
      </w:tr>
      <w:tr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2E5AAC"/>
                <w:sz w:val="22"/>
              </w:rPr>
              <w:t>3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Regras de procedimento e dinâmica de comitê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2h</w:t>
            </w:r>
          </w:p>
        </w:tc>
      </w:tr>
      <w:tr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2E5AAC"/>
                <w:sz w:val="22"/>
              </w:rPr>
              <w:t>4</w:t>
            </w:r>
          </w:p>
        </w:tc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Documentos, redação de resoluções e negociação</w:t>
            </w:r>
          </w:p>
        </w:tc>
        <w:tc>
          <w:tcPr>
            <w:tcW w:type="dxa" w:w="3360"/>
            <w:shd w:val="clear" w:color="auto" w:fill="F7F9FC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2h</w:t>
            </w:r>
          </w:p>
        </w:tc>
      </w:tr>
      <w:tr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2E5AAC"/>
                <w:sz w:val="22"/>
              </w:rPr>
              <w:t>5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1"/>
              </w:rPr>
              <w:t>Simulação integrada, oratória e feedback</w:t>
            </w:r>
          </w:p>
        </w:tc>
        <w:tc>
          <w:tcPr>
            <w:tcW w:type="dxa" w:w="3360"/>
            <w:shd w:val="clear" w:color="auto" w:fill="FFFFFF"/>
            <w:tcMar>
              <w:top w:w="60" w:type="dxa"/>
              <w:bottom w:w="6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2h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Planejamento aula por aula</w:t>
            </w:r>
            <w:r>
              <w:rPr>
                <w:rFonts w:ascii="Calibri" w:hAnsi="Calibri"/>
                <w:b w:val="0"/>
                <w:i w:val="0"/>
                <w:color w:val="DCE6FB"/>
                <w:sz w:val="19"/>
              </w:rPr>
              <w:t xml:space="preserve">    10 horas · 5 encontros de 2h</w:t>
            </w:r>
          </w:p>
        </w:tc>
      </w:tr>
    </w:tbl>
    <w:p>
      <w:pPr>
        <w:spacing w:after="40"/>
      </w:pP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7301"/>
            <w:shd w:val="clear" w:color="auto" w:fill="1B2A4A"/>
            <w:tcMar>
              <w:top w:w="80" w:type="dxa"/>
              <w:bottom w:w="80" w:type="dxa"/>
              <w:start w:w="140" w:type="dxa"/>
              <w:end w:w="100" w:type="dxa"/>
              <w:left w:w="14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C9A227"/>
                <w:sz w:val="22"/>
              </w:rPr>
              <w:t xml:space="preserve">AULA 1  ·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O sistema ONU: arquitetura e lógica de funcionamento</w:t>
            </w:r>
          </w:p>
        </w:tc>
        <w:tc>
          <w:tcPr>
            <w:tcW w:type="dxa" w:w="2059"/>
            <w:shd w:val="clear" w:color="auto" w:fill="C9A227"/>
            <w:tcMar>
              <w:top w:w="80" w:type="dxa"/>
              <w:bottom w:w="80" w:type="dxa"/>
              <w:start w:w="100" w:type="dxa"/>
              <w:end w:w="140" w:type="dxa"/>
              <w:left w:w="100" w:type="dxa"/>
              <w:right w:w="14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2 horas (120 min)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EEF2FA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Objetivo da aula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Compreender a origem, os princípios e os órgãos da ONU e como cada um se traduz em um comitê de simulação.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B2A4A"/>
          <w:sz w:val="19"/>
        </w:rPr>
        <w:t>Roteiro de tempo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1872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Tempo</w:t>
            </w:r>
          </w:p>
        </w:tc>
        <w:tc>
          <w:tcPr>
            <w:tcW w:type="dxa" w:w="7488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Atividade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0–10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Abertura, diagnóstico do aluno e objetivos da aula.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10–40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 Carta de São Francisco (1945): propósitos e princípios — soberania, não-intervenção, segurança coletiva e solução pacífica de controvérsias.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40–80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Os órgãos principais e suas competências: Assembleia Geral, Conselho de Segurança (P5 e veto), ECOSOC, Secretariado, Corte Internacional de Justiça e o Conselho de Tutela.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80–105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Da estrutura ao comitê: como cada órgão vira um comitê de MUN e o que muda em poderes e documentos.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105–120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Atividade prática e fechamento.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Atividade prática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Mapa do sistema ONU — dado um conjunto de problemas (conflito armado, epidemia, refugiados, crise alimentar), o aluno indica o órgão/comitê competente e justifica.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Entregável do aluno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Quadro-resumo “qual órgão para qual problema”.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7301"/>
            <w:shd w:val="clear" w:color="auto" w:fill="1B2A4A"/>
            <w:tcMar>
              <w:top w:w="80" w:type="dxa"/>
              <w:bottom w:w="80" w:type="dxa"/>
              <w:start w:w="140" w:type="dxa"/>
              <w:end w:w="100" w:type="dxa"/>
              <w:left w:w="14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C9A227"/>
                <w:sz w:val="22"/>
              </w:rPr>
              <w:t xml:space="preserve">AULA 2  ·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Órgãos, agências e mecanismos de financiamento</w:t>
            </w:r>
          </w:p>
        </w:tc>
        <w:tc>
          <w:tcPr>
            <w:tcW w:type="dxa" w:w="2059"/>
            <w:shd w:val="clear" w:color="auto" w:fill="C9A227"/>
            <w:tcMar>
              <w:top w:w="80" w:type="dxa"/>
              <w:bottom w:w="80" w:type="dxa"/>
              <w:start w:w="100" w:type="dxa"/>
              <w:end w:w="140" w:type="dxa"/>
              <w:left w:w="100" w:type="dxa"/>
              <w:right w:w="14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2 horas (120 min)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EEF2FA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Objetivo da aula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Distinguir órgãos, programas, fundos e agências, entender como a ONU se financia e como obter recursos para propostas em comitê.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B2A4A"/>
          <w:sz w:val="19"/>
        </w:rPr>
        <w:t>Roteiro de tempo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1872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Tempo</w:t>
            </w:r>
          </w:p>
        </w:tc>
        <w:tc>
          <w:tcPr>
            <w:tcW w:type="dxa" w:w="7488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Atividade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0–10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Revisão da aula anterior e conexão com o tema.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10–35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 ecossistema multilateral: programas e fundos (PNUD, UNICEF, ACNUR, PMA/WFP) × agências especializadas (OMS, FAO, UNESCO, OIT) e Bretton Woods.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35–75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Como a ONU se financia: contribuições obrigatórias × voluntárias, escala de cotas, fundos fiduciários (trust funds) e pooled funds (ex.: CERF).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75–105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Obtendo fundos na simulação: identificar a fonte certa, redigir cláusula que solicita/cria financiamento, mobilizar doadores e prever prestação de contas.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105–120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Atividade prática e fechamento.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Atividade prática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Captação de recursos — diante de uma crise humanitária fictícia, o aluno desenha o plano de financiamento (fundos/agências a acionar, cláusula a redigir, parceiros).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Entregável do aluno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Rascunho de cláusula operativa de financiamento.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7301"/>
            <w:shd w:val="clear" w:color="auto" w:fill="1B2A4A"/>
            <w:tcMar>
              <w:top w:w="80" w:type="dxa"/>
              <w:bottom w:w="80" w:type="dxa"/>
              <w:start w:w="140" w:type="dxa"/>
              <w:end w:w="100" w:type="dxa"/>
              <w:left w:w="14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C9A227"/>
                <w:sz w:val="22"/>
              </w:rPr>
              <w:t xml:space="preserve">AULA 3  ·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Regras de procedimento e dinâmica de comitê</w:t>
            </w:r>
          </w:p>
        </w:tc>
        <w:tc>
          <w:tcPr>
            <w:tcW w:type="dxa" w:w="2059"/>
            <w:shd w:val="clear" w:color="auto" w:fill="C9A227"/>
            <w:tcMar>
              <w:top w:w="80" w:type="dxa"/>
              <w:bottom w:w="80" w:type="dxa"/>
              <w:start w:w="100" w:type="dxa"/>
              <w:end w:w="140" w:type="dxa"/>
              <w:left w:w="100" w:type="dxa"/>
              <w:right w:w="14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2 horas (120 min)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EEF2FA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Objetivo da aula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Dominar as Rules of Procedure e o fluxo de uma sessão para atuar com segurança na mesa.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B2A4A"/>
          <w:sz w:val="19"/>
        </w:rPr>
        <w:t>Roteiro de tempo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1872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Tempo</w:t>
            </w:r>
          </w:p>
        </w:tc>
        <w:tc>
          <w:tcPr>
            <w:tcW w:type="dxa" w:w="7488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Atividade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0–10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Revisão e aquecimento.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10–45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Rules of Procedure: quórum, lista de oradores (GSL), moções (caucus moderado/não-moderado, encerrar debate, votação) e pontos (ordem, informação).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45–75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Fluxo da sessão: roll call → setting the agenda → debate formal → caucus → redação → votação.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75–100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Papéis e relação com a mesa (dais/chair); etiqueta; tipos de comitê (AGNU, CSNU, ECOSOC, históricos e de crise).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100–120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Mini-simulação de procedimento e fechamento.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Atividade prática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Mini-simulação: o aluno conduz uma rodada com abertura de agenda, moções de caucus e votação.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Entregável do aluno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“Cola” pessoal de moções (quando usar cada uma).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7301"/>
            <w:shd w:val="clear" w:color="auto" w:fill="1B2A4A"/>
            <w:tcMar>
              <w:top w:w="80" w:type="dxa"/>
              <w:bottom w:w="80" w:type="dxa"/>
              <w:start w:w="140" w:type="dxa"/>
              <w:end w:w="100" w:type="dxa"/>
              <w:left w:w="14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C9A227"/>
                <w:sz w:val="22"/>
              </w:rPr>
              <w:t xml:space="preserve">AULA 4  ·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Documentos, redação de resoluções e negociação</w:t>
            </w:r>
          </w:p>
        </w:tc>
        <w:tc>
          <w:tcPr>
            <w:tcW w:type="dxa" w:w="2059"/>
            <w:shd w:val="clear" w:color="auto" w:fill="C9A227"/>
            <w:tcMar>
              <w:top w:w="80" w:type="dxa"/>
              <w:bottom w:w="80" w:type="dxa"/>
              <w:start w:w="100" w:type="dxa"/>
              <w:end w:w="140" w:type="dxa"/>
              <w:left w:w="100" w:type="dxa"/>
              <w:right w:w="14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2 horas (120 min)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EEF2FA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Objetivo da aula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Redigir documentos tecnicamente corretos e negociar para construir consenso em torno de uma resolução.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B2A4A"/>
          <w:sz w:val="19"/>
        </w:rPr>
        <w:t>Roteiro de tempo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1872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Tempo</w:t>
            </w:r>
          </w:p>
        </w:tc>
        <w:tc>
          <w:tcPr>
            <w:tcW w:type="dxa" w:w="7488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Atividade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0–10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Revisão e exemplos comentados.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10–35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Documentos do delegado: position paper, working paper, draft resolution e emendas.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35–70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Anatomia da resolução: cláusulas preambulares × operativas e os verbos típicos de cada uma.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70–95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Cláusula operativa exequível: criar mecanismos, solicitar financiamento, definir prazos, responsáveis e monitoramento.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95–120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Redação assistida e negociação simulada.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Atividade prática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 aluno redige uma draft resolution completa — incluindo um mecanismo de financiamento — e a defende em negociação simulada (blocos, sponsors, concessões).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Entregável do aluno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Draft resolution revisada com feedback.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0"/>
        <w:gridCol w:w="5040"/>
      </w:tblGrid>
      <w:tr>
        <w:tc>
          <w:tcPr>
            <w:tcW w:type="dxa" w:w="7301"/>
            <w:shd w:val="clear" w:color="auto" w:fill="1B2A4A"/>
            <w:tcMar>
              <w:top w:w="80" w:type="dxa"/>
              <w:bottom w:w="80" w:type="dxa"/>
              <w:start w:w="140" w:type="dxa"/>
              <w:end w:w="100" w:type="dxa"/>
              <w:left w:w="14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C9A227"/>
                <w:sz w:val="22"/>
              </w:rPr>
              <w:t xml:space="preserve">AULA 5  ·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Simulação integrada, oratória e feedback</w:t>
            </w:r>
          </w:p>
        </w:tc>
        <w:tc>
          <w:tcPr>
            <w:tcW w:type="dxa" w:w="2059"/>
            <w:shd w:val="clear" w:color="auto" w:fill="C9A227"/>
            <w:tcMar>
              <w:top w:w="80" w:type="dxa"/>
              <w:bottom w:w="80" w:type="dxa"/>
              <w:start w:w="100" w:type="dxa"/>
              <w:end w:w="140" w:type="dxa"/>
              <w:left w:w="100" w:type="dxa"/>
              <w:right w:w="140" w:type="dxa"/>
            </w:tcMar>
            <w:vAlign w:val="center"/>
          </w:tcPr>
          <w:p>
            <w:pPr>
              <w:spacing w:before="40" w:after="40" w:line="252" w:lineRule="auto"/>
              <w:jc w:val="right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>2 horas (120 min)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EEF2FA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Objetivo da aula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Integrar tudo numa simulação completa, com oratória diplomática e resposta a problemas-surpresa, incluindo crises de financiamento.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/>
          <w:b/>
          <w:i w:val="0"/>
          <w:color w:val="1B2A4A"/>
          <w:sz w:val="19"/>
        </w:rPr>
        <w:t>Roteiro de tempo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7DEEA"/>
          <w:left w:val="single" w:sz="4" w:space="0" w:color="D7DEEA"/>
          <w:bottom w:val="single" w:sz="4" w:space="0" w:color="D7DEEA"/>
          <w:right w:val="single" w:sz="4" w:space="0" w:color="D7DEEA"/>
          <w:insideH w:val="single" w:sz="4" w:space="0" w:color="D7DEEA"/>
          <w:insideV w:val="single" w:sz="4" w:space="0" w:color="D7DEEA"/>
        </w:tblBorders>
      </w:tblPr>
      <w:tblGrid>
        <w:gridCol w:w="5040"/>
        <w:gridCol w:w="5040"/>
      </w:tblGrid>
      <w:tr>
        <w:tc>
          <w:tcPr>
            <w:tcW w:type="dxa" w:w="1872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Tempo</w:t>
            </w:r>
          </w:p>
        </w:tc>
        <w:tc>
          <w:tcPr>
            <w:tcW w:type="dxa" w:w="7488"/>
            <w:shd w:val="clear" w:color="auto" w:fill="2E5AA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Atividade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0–15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Oratória diplomática: discurso de abertura, intervenções na GSL, direito de resposta, linguagem formal e controle do tempo.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15–30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Postura, protocolo e funcionamento dos comitês de crise.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30–100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Simulação completa cronometrada: cenário com um problema a resolver de ponta a ponta — da abertura à votação de uma resolução que mobiliza recursos.</w:t>
            </w:r>
          </w:p>
        </w:tc>
      </w:tr>
      <w:tr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100–115 min</w:t>
            </w:r>
          </w:p>
        </w:tc>
        <w:tc>
          <w:tcPr>
            <w:tcW w:type="dxa" w:w="5040"/>
            <w:shd w:val="clear" w:color="auto" w:fill="F7F9F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Feedback individualizado por rubrica.</w:t>
            </w:r>
          </w:p>
        </w:tc>
      </w:tr>
      <w:tr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>115–120 min</w:t>
            </w:r>
          </w:p>
        </w:tc>
        <w:tc>
          <w:tcPr>
            <w:tcW w:type="dxa" w:w="5040"/>
            <w:shd w:val="clear" w:color="auto" w:fill="FFFFFF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Plano de evolução pós-curso e encerramento.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A227"/>
          <w:left w:val="single" w:sz="4" w:space="0" w:color="C9A227"/>
          <w:bottom w:val="single" w:sz="4" w:space="0" w:color="C9A227"/>
          <w:right w:val="single" w:sz="4" w:space="0" w:color="C9A227"/>
          <w:insideH w:val="single" w:sz="4" w:space="0" w:color="C9A227"/>
          <w:insideV w:val="single" w:sz="4" w:space="0" w:color="C9A227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9A7B16"/>
                <w:sz w:val="19"/>
              </w:rPr>
              <w:t xml:space="preserve">Atividade prática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Simulação integrada cronometrada, avaliada por rubrica (procedimento, conteúdo, negociação, oratória e documentos).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2E5AAC"/>
          <w:left w:val="single" w:sz="4" w:space="0" w:color="2E5AAC"/>
          <w:bottom w:val="single" w:sz="4" w:space="0" w:color="2E5AAC"/>
          <w:right w:val="single" w:sz="4" w:space="0" w:color="2E5AAC"/>
          <w:insideH w:val="single" w:sz="4" w:space="0" w:color="2E5AAC"/>
          <w:insideV w:val="single" w:sz="4" w:space="0" w:color="2E5AAC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2E5AAC"/>
                <w:sz w:val="19"/>
              </w:rPr>
              <w:t xml:space="preserve">Entregável do aluno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Ficha de feedback + plano de estudos personalizado.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c>
          <w:tcPr>
            <w:tcW w:type="dxa" w:w="9360"/>
            <w:shd w:val="clear" w:color="auto" w:fill="2E5AA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Metodologia, materiais e avaliação</w:t>
            </w:r>
          </w:p>
        </w:tc>
      </w:tr>
    </w:tbl>
    <w:p>
      <w:pPr>
        <w:spacing w:after="40"/>
      </w:pPr>
    </w:p>
    <w:p>
      <w:pPr>
        <w:spacing w:before="40" w:after="20" w:line="283" w:lineRule="auto"/>
      </w:pPr>
      <w:r>
        <w:rPr>
          <w:rFonts w:ascii="Calibri" w:hAnsi="Calibri"/>
          <w:b/>
          <w:i w:val="0"/>
          <w:color w:val="3C4250"/>
          <w:sz w:val="21"/>
        </w:rPr>
        <w:t>Metodologia.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Aprendizagem ativa: cada conceito é seguido de aplicação prática.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Estudos de caso reais (operações de paz, apelos humanitários, resoluções históricas).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Simulações progressivas, de micro-exercícios à simulação integrada final.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Feedback contínuo por rubrica (procedimento, conteúdo, negociação, oratória, documentos).</w:t>
      </w:r>
    </w:p>
    <w:p>
      <w:pPr>
        <w:spacing w:after="60"/>
      </w:pPr>
    </w:p>
    <w:p>
      <w:pPr>
        <w:spacing w:before="40" w:after="20" w:line="283" w:lineRule="auto"/>
      </w:pPr>
      <w:r>
        <w:rPr>
          <w:rFonts w:ascii="Calibri" w:hAnsi="Calibri"/>
          <w:b/>
          <w:i w:val="0"/>
          <w:color w:val="3C4250"/>
          <w:sz w:val="21"/>
        </w:rPr>
        <w:t>Materiais.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Carta das Nações Unidas e regimento-modelo de MUN (Rules of Procedure).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Modelos comentados de position paper, working paper e draft resolution.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Glossário ONU/MUN (PT-BR / EN) e lista de fontes oficiais de pesquisa.</w:t>
      </w:r>
    </w:p>
    <w:p>
      <w:pPr>
        <w:spacing w:after="60"/>
      </w:pPr>
    </w:p>
    <w:p>
      <w:pPr>
        <w:spacing w:before="40" w:after="20" w:line="283" w:lineRule="auto"/>
      </w:pPr>
      <w:r>
        <w:rPr>
          <w:rFonts w:ascii="Calibri" w:hAnsi="Calibri"/>
          <w:b/>
          <w:i w:val="0"/>
          <w:color w:val="3C4250"/>
          <w:sz w:val="21"/>
        </w:rPr>
        <w:t>Avaliação.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Formativa: desempenho nos exercícios e entregáveis de cada aula.</w:t>
      </w:r>
    </w:p>
    <w:p>
      <w:pPr>
        <w:spacing w:before="20" w:after="20" w:line="278" w:lineRule="auto"/>
        <w:ind w:left="259"/>
      </w:pPr>
      <w:r>
        <w:rPr>
          <w:rFonts w:ascii="Calibri" w:hAnsi="Calibri"/>
          <w:b/>
          <w:i w:val="0"/>
          <w:color w:val="C9A227"/>
          <w:sz w:val="21"/>
        </w:rPr>
        <w:t xml:space="preserve">•  </w:t>
      </w:r>
      <w:r>
        <w:rPr>
          <w:rFonts w:ascii="Calibri" w:hAnsi="Calibri"/>
          <w:b w:val="0"/>
          <w:i w:val="0"/>
          <w:color w:val="3C4250"/>
          <w:sz w:val="21"/>
        </w:rPr>
        <w:t>Somativa: rubrica aplicada na simulação integrada final (Aula 5).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1B2A4A"/>
          <w:left w:val="single" w:sz="4" w:space="0" w:color="1B2A4A"/>
          <w:bottom w:val="single" w:sz="4" w:space="0" w:color="1B2A4A"/>
          <w:right w:val="single" w:sz="4" w:space="0" w:color="1B2A4A"/>
          <w:insideH w:val="single" w:sz="4" w:space="0" w:color="1B2A4A"/>
          <w:insideV w:val="single" w:sz="4" w:space="0" w:color="1B2A4A"/>
        </w:tblBorders>
      </w:tblPr>
      <w:tblGrid>
        <w:gridCol w:w="10080"/>
      </w:tblGrid>
      <w:tr>
        <w:tc>
          <w:tcPr>
            <w:tcW w:type="dxa" w:w="9360"/>
            <w:shd w:val="clear" w:color="auto" w:fill="F7F9FC"/>
            <w:tcMar>
              <w:top w:w="70" w:type="dxa"/>
              <w:bottom w:w="7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/>
                <w:b/>
                <w:i w:val="0"/>
                <w:color w:val="1B2A4A"/>
                <w:sz w:val="19"/>
              </w:rPr>
              <w:t xml:space="preserve">Resultado esperado  </w:t>
            </w:r>
            <w:r>
              <w:rPr>
                <w:rFonts w:ascii="Calibri" w:hAnsi="Calibri"/>
                <w:b w:val="0"/>
                <w:i w:val="0"/>
                <w:color w:val="3C4250"/>
                <w:sz w:val="20"/>
              </w:rPr>
              <w:t>Ao concluir, o estudante chega à simulação sabendo não apenas o que é a ONU, mas como usá-la: escolhe o órgão certo, domina o procedimento, redige documentos sólidos, negocia com método e sabe mobilizar e obter recursos para suas propostas.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864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9AA3B2"/>
        <w:sz w:val="16"/>
      </w:rPr>
      <w:t xml:space="preserve">Aluizio Educação  ·  [e-mail]  ·  [telefone/WhatsApp]  ·  [site]   —   página </w:t>
    </w:r>
    <w:fldSimple w:instr="PAGE">
      <w:r>
        <w:rPr>
          <w:sz w:val="16"/>
        </w:rPr>
        <w:t>1</w:t>
      </w:r>
    </w:fldSimple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C42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