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t>Software Configuration Management Plan</w:t>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48"/>
          <w:szCs w:val="48"/>
        </w:rPr>
        <w:t>for</w:t>
      </w:r>
      <w:r>
        <w:rPr>
          <w:rFonts w:eastAsia="Times New Roman" w:cs="Times New Roman" w:ascii="Times New Roman" w:hAnsi="Times New Roman"/>
          <w:b/>
          <w:color w:val="000000" w:themeColor="text1"/>
          <w:sz w:val="72"/>
          <w:szCs w:val="72"/>
        </w:rPr>
        <w:t xml:space="preserve"> RaiderNAV</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Team Getana</w:t>
      </w:r>
    </w:p>
    <w:p>
      <w:pPr>
        <w:pStyle w:val="Normal"/>
        <w:jc w:val="center"/>
        <w:rPr>
          <w:rFonts w:ascii="Times New Roman" w:hAnsi="Times New Roman" w:eastAsia="Times New Roman" w:cs="Times New Roman"/>
          <w:b/>
          <w:b/>
          <w:color w:val="000000" w:themeColor="text1"/>
          <w:sz w:val="36"/>
          <w:szCs w:val="36"/>
        </w:rPr>
      </w:pPr>
      <w:r>
        <w:rPr/>
      </w:r>
    </w:p>
    <w:p>
      <w:pPr>
        <w:pStyle w:val="Normal"/>
        <w:jc w:val="center"/>
        <w:rPr/>
      </w:pPr>
      <w:r>
        <w:rPr>
          <w:rFonts w:eastAsia="Times New Roman" w:cs="Times New Roman" w:ascii="Times New Roman" w:hAnsi="Times New Roman"/>
          <w:b/>
          <w:color w:val="000000" w:themeColor="text1"/>
          <w:sz w:val="36"/>
          <w:szCs w:val="36"/>
        </w:rPr>
        <w:t xml:space="preserve">Revision </w:t>
      </w:r>
      <w:r>
        <w:rPr>
          <w:rFonts w:eastAsia="Times New Roman" w:cs="Times New Roman" w:ascii="Times New Roman" w:hAnsi="Times New Roman"/>
          <w:b/>
          <w:color w:val="000000" w:themeColor="text1"/>
          <w:sz w:val="36"/>
          <w:szCs w:val="36"/>
        </w:rPr>
        <w:t>3</w:t>
      </w:r>
    </w:p>
    <w:p>
      <w:pPr>
        <w:pStyle w:val="Normal"/>
        <w:jc w:val="center"/>
        <w:rPr/>
      </w:pPr>
      <w:r>
        <w:rPr>
          <w:rFonts w:eastAsia="Times New Roman" w:cs="Times New Roman" w:ascii="Times New Roman" w:hAnsi="Times New Roman"/>
          <w:b/>
          <w:color w:val="000000" w:themeColor="text1"/>
          <w:sz w:val="36"/>
          <w:szCs w:val="36"/>
        </w:rPr>
        <w:t>(1 April 2018)</w:t>
      </w:r>
      <w:r>
        <w:br w:type="page"/>
      </w:r>
    </w:p>
    <w:p>
      <w:pPr>
        <w:pStyle w:val="Normal"/>
        <w:jc w:val="left"/>
        <w:rPr/>
      </w:pPr>
      <w:r>
        <w:rPr>
          <w:rFonts w:eastAsia="Times New Roman" w:cs="Times New Roman" w:ascii="Times New Roman" w:hAnsi="Times New Roman"/>
          <w:b/>
          <w:color w:val="000000" w:themeColor="text1"/>
          <w:sz w:val="22"/>
          <w:szCs w:val="22"/>
        </w:rPr>
        <w:t>R</w:t>
      </w:r>
      <w:r>
        <w:rPr>
          <w:rFonts w:eastAsia="Times New Roman" w:cs="Times New Roman" w:ascii="Times New Roman" w:hAnsi="Times New Roman"/>
          <w:b/>
          <w:color w:val="000000" w:themeColor="text1"/>
          <w:sz w:val="22"/>
          <w:szCs w:val="22"/>
        </w:rPr>
        <w:t>evision History</w:t>
      </w:r>
    </w:p>
    <w:tbl>
      <w:tblPr>
        <w:tblW w:w="9360" w:type="dxa"/>
        <w:jc w:val="left"/>
        <w:tblInd w:w="55" w:type="dxa"/>
        <w:tblBorders/>
        <w:tblCellMar>
          <w:top w:w="55" w:type="dxa"/>
          <w:left w:w="55" w:type="dxa"/>
          <w:bottom w:w="55" w:type="dxa"/>
          <w:right w:w="55" w:type="dxa"/>
        </w:tblCellMar>
      </w:tblPr>
      <w:tblGrid>
        <w:gridCol w:w="1075"/>
        <w:gridCol w:w="1813"/>
        <w:gridCol w:w="6472"/>
      </w:tblGrid>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Version</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Date</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singl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single"/>
              </w:rPr>
              <w:t>Summary</w:t>
            </w:r>
          </w:p>
        </w:tc>
      </w:tr>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3.0</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1 April 2018</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 xml:space="preserve">Sections 1.2.4, 2.2, and 3.1.3 updated </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to reflect missing information</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 xml:space="preserve">. Sections 4 and 5 completed. </w:t>
            </w: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Minor wording changes throughout.</w:t>
            </w:r>
          </w:p>
        </w:tc>
      </w:tr>
      <w:tr>
        <w:trPr/>
        <w:tc>
          <w:tcPr>
            <w:tcW w:w="1075"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2.0</w:t>
            </w:r>
          </w:p>
        </w:tc>
        <w:tc>
          <w:tcPr>
            <w:tcW w:w="1813"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9 March 2018</w:t>
            </w:r>
          </w:p>
        </w:tc>
        <w:tc>
          <w:tcPr>
            <w:tcW w:w="6472" w:type="dxa"/>
            <w:tcBorders/>
            <w:shd w:fill="auto" w:val="clear"/>
          </w:tcPr>
          <w:p>
            <w:pPr>
              <w:pStyle w:val="TableContents"/>
              <w:spacing w:before="0" w:after="16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ascii="Liberation Serif" w:hAnsi="Liberation Serif"/>
                <w:b w:val="false"/>
                <w:bCs w:val="false"/>
                <w:i w:val="false"/>
                <w:iCs w:val="false"/>
                <w:strike w:val="false"/>
                <w:dstrike w:val="false"/>
                <w:outline w:val="false"/>
                <w:shadow w:val="false"/>
                <w:color w:val="000000"/>
                <w:sz w:val="24"/>
                <w:szCs w:val="24"/>
                <w:u w:val="none"/>
              </w:rPr>
              <w:t>Initial document</w:t>
            </w:r>
          </w:p>
        </w:tc>
      </w:tr>
    </w:tbl>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r>
        <w:rPr/>
        <w:t>Table of Contents</w:t>
      </w:r>
    </w:p>
    <w:p>
      <w:pPr>
        <w:pStyle w:val="Contents1"/>
        <w:tabs>
          <w:tab w:val="right" w:pos="9350" w:leader="dot"/>
        </w:tabs>
        <w:rPr>
          <w:rFonts w:ascii="Cambria" w:hAnsi="Cambria" w:eastAsia="" w:cs="" w:asciiTheme="minorHAnsi" w:cstheme="minorBidi" w:eastAsiaTheme="minorEastAsia" w:hAnsiTheme="minorHAnsi"/>
          <w:color w:val="00000A"/>
          <w:sz w:val="24"/>
          <w:szCs w:val="24"/>
        </w:rPr>
      </w:pPr>
      <w:r>
        <w:fldChar w:fldCharType="begin"/>
      </w:r>
      <w:r>
        <w:rPr>
          <w:webHidden/>
          <w:rStyle w:val="IndexLink"/>
        </w:rPr>
        <w:instrText> TOC \z \t "Head 1,1,Head 2,2,Head 3,3" \h</w:instrText>
      </w:r>
      <w:r>
        <w:rPr>
          <w:webHidden/>
          <w:rStyle w:val="IndexLink"/>
        </w:rPr>
        <w:fldChar w:fldCharType="separate"/>
      </w:r>
      <w:hyperlink w:anchor="_Toc508398841">
        <w:r>
          <w:rPr>
            <w:webHidden/>
            <w:rStyle w:val="IndexLink"/>
          </w:rPr>
          <w:t>1. Introduction I</w:t>
        </w:r>
        <w:r>
          <w:rPr>
            <w:webHidden/>
          </w:rPr>
          <w:fldChar w:fldCharType="begin"/>
        </w:r>
        <w:r>
          <w:rPr>
            <w:webHidden/>
          </w:rPr>
          <w:instrText>PAGEREF _Toc508398841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508398842">
        <w:r>
          <w:rPr>
            <w:webHidden/>
            <w:rStyle w:val="IndexLink"/>
          </w:rPr>
          <w:t>1.1 Purpose</w:t>
        </w:r>
        <w:r>
          <w:rPr>
            <w:webHidden/>
          </w:rPr>
          <w:fldChar w:fldCharType="begin"/>
        </w:r>
        <w:r>
          <w:rPr>
            <w:webHidden/>
          </w:rPr>
          <w:instrText>PAGEREF _Toc508398842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508398843">
        <w:r>
          <w:rPr>
            <w:webHidden/>
            <w:rStyle w:val="IndexLink"/>
          </w:rPr>
          <w:t>1.2 Scope</w:t>
        </w:r>
        <w:r>
          <w:rPr>
            <w:webHidden/>
          </w:rPr>
          <w:fldChar w:fldCharType="begin"/>
        </w:r>
        <w:r>
          <w:rPr>
            <w:webHidden/>
          </w:rPr>
          <w:instrText>PAGEREF _Toc508398843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4">
        <w:r>
          <w:rPr>
            <w:webHidden/>
            <w:rStyle w:val="IndexLink"/>
          </w:rPr>
          <w:t>1.2.1 Overview description of the software project.</w:t>
        </w:r>
        <w:r>
          <w:rPr>
            <w:webHidden/>
          </w:rPr>
          <w:fldChar w:fldCharType="begin"/>
        </w:r>
        <w:r>
          <w:rPr>
            <w:webHidden/>
          </w:rPr>
          <w:instrText>PAGEREF _Toc508398844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5">
        <w:r>
          <w:rPr>
            <w:webHidden/>
            <w:rStyle w:val="IndexLink"/>
          </w:rPr>
          <w:t>1.2.2 Applicability</w:t>
        </w:r>
        <w:r>
          <w:rPr>
            <w:webHidden/>
          </w:rPr>
          <w:fldChar w:fldCharType="begin"/>
        </w:r>
        <w:r>
          <w:rPr>
            <w:webHidden/>
          </w:rPr>
          <w:instrText>PAGEREF _Toc508398845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6">
        <w:r>
          <w:rPr>
            <w:webHidden/>
            <w:rStyle w:val="IndexLink"/>
          </w:rPr>
          <w:t>1.2.3 Identification of other software to be included as part of the plan</w:t>
        </w:r>
        <w:r>
          <w:rPr>
            <w:webHidden/>
          </w:rPr>
          <w:fldChar w:fldCharType="begin"/>
        </w:r>
        <w:r>
          <w:rPr>
            <w:webHidden/>
          </w:rPr>
          <w:instrText>PAGEREF _Toc508398846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7">
        <w:r>
          <w:rPr>
            <w:webHidden/>
            <w:rStyle w:val="IndexLink"/>
          </w:rPr>
          <w:t>1.2.4 Relationship of SCM to the hardware or SCM activities for the project</w:t>
        </w:r>
        <w:r>
          <w:rPr>
            <w:webHidden/>
          </w:rPr>
          <w:fldChar w:fldCharType="begin"/>
        </w:r>
        <w:r>
          <w:rPr>
            <w:webHidden/>
          </w:rPr>
          <w:instrText>PAGEREF _Toc508398847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8">
        <w:r>
          <w:rPr>
            <w:webHidden/>
            <w:rStyle w:val="IndexLink"/>
          </w:rPr>
          <w:t>1.2.5 The degree of formality, depth of control, and portion of the software life cycle for applying SCM on this project</w:t>
        </w:r>
        <w:r>
          <w:rPr>
            <w:webHidden/>
          </w:rPr>
          <w:fldChar w:fldCharType="begin"/>
        </w:r>
        <w:r>
          <w:rPr>
            <w:webHidden/>
          </w:rPr>
          <w:instrText>PAGEREF _Toc508398848 \h</w:instrText>
        </w:r>
        <w:r>
          <w:rPr>
            <w:webHidden/>
          </w:rPr>
          <w:fldChar w:fldCharType="separate"/>
        </w:r>
        <w:r>
          <w:rPr>
            <w:rStyle w:val="IndexLink"/>
            <w:vanish w:val="false"/>
          </w:rPr>
          <w:tab/>
          <w:t>4</w:t>
        </w:r>
        <w:r>
          <w:rPr>
            <w:webHidden/>
          </w:rPr>
          <w:fldChar w:fldCharType="end"/>
        </w:r>
      </w:hyperlink>
    </w:p>
    <w:p>
      <w:pPr>
        <w:pStyle w:val="Contents3"/>
        <w:tabs>
          <w:tab w:val="right" w:pos="9350" w:leader="dot"/>
        </w:tabs>
        <w:rPr/>
      </w:pPr>
      <w:hyperlink w:anchor="_Toc508398849">
        <w:r>
          <w:rPr>
            <w:webHidden/>
            <w:rStyle w:val="IndexLink"/>
          </w:rPr>
          <w:t>1.2.6 Limitations</w:t>
        </w:r>
        <w:r>
          <w:rPr>
            <w:webHidden/>
          </w:rPr>
          <w:fldChar w:fldCharType="begin"/>
        </w:r>
        <w:r>
          <w:rPr>
            <w:webHidden/>
          </w:rPr>
          <w:instrText>PAGEREF _Toc508398849 \h</w:instrText>
        </w:r>
        <w:r>
          <w:rPr>
            <w:webHidden/>
          </w:rPr>
          <w:fldChar w:fldCharType="separate"/>
        </w:r>
        <w:r>
          <w:rPr>
            <w:rStyle w:val="IndexLink"/>
            <w:vanish w:val="false"/>
          </w:rPr>
          <w:tab/>
          <w:t>5</w:t>
        </w:r>
        <w:r>
          <w:rPr>
            <w:webHidden/>
          </w:rPr>
          <w:fldChar w:fldCharType="end"/>
        </w:r>
      </w:hyperlink>
    </w:p>
    <w:p>
      <w:pPr>
        <w:pStyle w:val="Contents3"/>
        <w:tabs>
          <w:tab w:val="right" w:pos="9350" w:leader="dot"/>
        </w:tabs>
        <w:rPr/>
      </w:pPr>
      <w:hyperlink w:anchor="_Toc508398850">
        <w:r>
          <w:rPr>
            <w:webHidden/>
            <w:rStyle w:val="IndexLink"/>
          </w:rPr>
          <w:t>1.2.7 Assumptions that might have an impact on the cost, schedule, or ability to perform defined SCM activities</w:t>
        </w:r>
        <w:r>
          <w:rPr>
            <w:webHidden/>
          </w:rPr>
          <w:fldChar w:fldCharType="begin"/>
        </w:r>
        <w:r>
          <w:rPr>
            <w:webHidden/>
          </w:rPr>
          <w:instrText>PAGEREF _Toc508398850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08398851">
        <w:r>
          <w:rPr>
            <w:webHidden/>
            <w:rStyle w:val="IndexLink"/>
          </w:rPr>
          <w:t>1.3 Key Terms</w:t>
        </w:r>
        <w:r>
          <w:rPr>
            <w:webHidden/>
          </w:rPr>
          <w:fldChar w:fldCharType="begin"/>
        </w:r>
        <w:r>
          <w:rPr>
            <w:webHidden/>
          </w:rPr>
          <w:instrText>PAGEREF _Toc508398851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08398852">
        <w:r>
          <w:rPr>
            <w:webHidden/>
            <w:rStyle w:val="IndexLink"/>
          </w:rPr>
          <w:t>1.4 References</w:t>
        </w:r>
        <w:r>
          <w:rPr>
            <w:webHidden/>
          </w:rPr>
          <w:fldChar w:fldCharType="begin"/>
        </w:r>
        <w:r>
          <w:rPr>
            <w:webHidden/>
          </w:rPr>
          <w:instrText>PAGEREF _Toc508398852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53">
        <w:r>
          <w:rPr>
            <w:webHidden/>
            <w:rStyle w:val="IndexLink"/>
          </w:rPr>
          <w:t>2. SCM Management</w:t>
        </w:r>
        <w:r>
          <w:rPr>
            <w:webHidden/>
          </w:rPr>
          <w:fldChar w:fldCharType="begin"/>
        </w:r>
        <w:r>
          <w:rPr>
            <w:webHidden/>
          </w:rPr>
          <w:instrText>PAGEREF _Toc508398853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4">
        <w:r>
          <w:rPr>
            <w:webHidden/>
            <w:rStyle w:val="IndexLink"/>
          </w:rPr>
          <w:t>2.1 Organization</w:t>
        </w:r>
        <w:r>
          <w:rPr>
            <w:webHidden/>
          </w:rPr>
          <w:fldChar w:fldCharType="begin"/>
        </w:r>
        <w:r>
          <w:rPr>
            <w:webHidden/>
          </w:rPr>
          <w:instrText>PAGEREF _Toc508398854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5">
        <w:r>
          <w:rPr>
            <w:webHidden/>
            <w:rStyle w:val="IndexLink"/>
          </w:rPr>
          <w:t>2.2. Responsibilities</w:t>
        </w:r>
        <w:r>
          <w:rPr>
            <w:webHidden/>
          </w:rPr>
          <w:fldChar w:fldCharType="begin"/>
        </w:r>
        <w:r>
          <w:rPr>
            <w:webHidden/>
          </w:rPr>
          <w:instrText>PAGEREF _Toc508398855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pPr>
      <w:hyperlink w:anchor="_Toc508398856">
        <w:r>
          <w:rPr>
            <w:webHidden/>
            <w:rStyle w:val="IndexLink"/>
          </w:rPr>
          <w:t>2.3. Applicable policies, directives, and procedures</w:t>
        </w:r>
        <w:r>
          <w:rPr>
            <w:webHidden/>
          </w:rPr>
          <w:fldChar w:fldCharType="begin"/>
        </w:r>
        <w:r>
          <w:rPr>
            <w:webHidden/>
          </w:rPr>
          <w:instrText>PAGEREF _Toc508398856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508398857">
        <w:r>
          <w:rPr>
            <w:webHidden/>
            <w:rStyle w:val="IndexLink"/>
          </w:rPr>
          <w:t>2.4 Management of the SCM process</w:t>
        </w:r>
        <w:r>
          <w:rPr>
            <w:webHidden/>
          </w:rPr>
          <w:fldChar w:fldCharType="begin"/>
        </w:r>
        <w:r>
          <w:rPr>
            <w:webHidden/>
          </w:rPr>
          <w:instrText>PAGEREF _Toc508398857 \h</w:instrText>
        </w:r>
        <w:r>
          <w:rPr>
            <w:webHidden/>
          </w:rPr>
          <w:fldChar w:fldCharType="separate"/>
        </w:r>
        <w:r>
          <w:rPr>
            <w:rStyle w:val="IndexLink"/>
            <w:vanish w:val="false"/>
          </w:rPr>
          <w:tab/>
          <w:t>9</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58">
        <w:r>
          <w:rPr>
            <w:webHidden/>
            <w:rStyle w:val="IndexLink"/>
          </w:rPr>
          <w:t>3. SCM Activities</w:t>
        </w:r>
        <w:r>
          <w:rPr>
            <w:webHidden/>
          </w:rPr>
          <w:fldChar w:fldCharType="begin"/>
        </w:r>
        <w:r>
          <w:rPr>
            <w:webHidden/>
          </w:rPr>
          <w:instrText>PAGEREF _Toc508398858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pPr>
      <w:hyperlink w:anchor="_Toc508398859">
        <w:r>
          <w:rPr>
            <w:webHidden/>
            <w:rStyle w:val="IndexLink"/>
          </w:rPr>
          <w:t>3.1 Configuration identification</w:t>
        </w:r>
        <w:r>
          <w:rPr>
            <w:webHidden/>
          </w:rPr>
          <w:fldChar w:fldCharType="begin"/>
        </w:r>
        <w:r>
          <w:rPr>
            <w:webHidden/>
          </w:rPr>
          <w:instrText>PAGEREF _Toc508398859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pPr>
      <w:hyperlink w:anchor="_Toc508398860">
        <w:r>
          <w:rPr>
            <w:webHidden/>
            <w:rStyle w:val="IndexLink"/>
          </w:rPr>
          <w:t>3.1.1 Identify configuration items (events, items, procedures)</w:t>
        </w:r>
        <w:r>
          <w:rPr>
            <w:webHidden/>
          </w:rPr>
          <w:fldChar w:fldCharType="begin"/>
        </w:r>
        <w:r>
          <w:rPr>
            <w:webHidden/>
          </w:rPr>
          <w:instrText>PAGEREF _Toc508398860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pPr>
      <w:hyperlink w:anchor="_Toc508398861">
        <w:r>
          <w:rPr>
            <w:webHidden/>
            <w:rStyle w:val="IndexLink"/>
          </w:rPr>
          <w:t>3.1.2 Name configuration items (unique identifiers)</w:t>
        </w:r>
        <w:r>
          <w:rPr>
            <w:webHidden/>
          </w:rPr>
          <w:fldChar w:fldCharType="begin"/>
        </w:r>
        <w:r>
          <w:rPr>
            <w:webHidden/>
          </w:rPr>
          <w:instrText>PAGEREF _Toc508398861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pPr>
      <w:hyperlink w:anchor="_Toc508398862">
        <w:r>
          <w:rPr>
            <w:webHidden/>
            <w:rStyle w:val="IndexLink"/>
          </w:rPr>
          <w:t>3.1.3 Acquiring configuration items (physical procedures)</w:t>
        </w:r>
        <w:r>
          <w:rPr>
            <w:webHidden/>
          </w:rPr>
          <w:fldChar w:fldCharType="begin"/>
        </w:r>
        <w:r>
          <w:rPr>
            <w:webHidden/>
          </w:rPr>
          <w:instrText>PAGEREF _Toc508398862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pPr>
      <w:hyperlink w:anchor="_Toc508398863">
        <w:r>
          <w:rPr>
            <w:webHidden/>
            <w:rStyle w:val="IndexLink"/>
          </w:rPr>
          <w:t>3.2. Configuration control</w:t>
        </w:r>
        <w:r>
          <w:rPr>
            <w:webHidden/>
          </w:rPr>
          <w:fldChar w:fldCharType="begin"/>
        </w:r>
        <w:r>
          <w:rPr>
            <w:webHidden/>
          </w:rPr>
          <w:instrText>PAGEREF _Toc508398863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4">
        <w:r>
          <w:rPr>
            <w:webHidden/>
            <w:rStyle w:val="IndexLink"/>
          </w:rPr>
          <w:t>3.2.1 Requesting changes</w:t>
        </w:r>
        <w:r>
          <w:rPr>
            <w:webHidden/>
          </w:rPr>
          <w:fldChar w:fldCharType="begin"/>
        </w:r>
        <w:r>
          <w:rPr>
            <w:webHidden/>
          </w:rPr>
          <w:instrText>PAGEREF _Toc508398864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5">
        <w:r>
          <w:rPr>
            <w:webHidden/>
            <w:rStyle w:val="IndexLink"/>
          </w:rPr>
          <w:t>3.2.2 Evaluating changes</w:t>
        </w:r>
        <w:r>
          <w:rPr>
            <w:webHidden/>
          </w:rPr>
          <w:fldChar w:fldCharType="begin"/>
        </w:r>
        <w:r>
          <w:rPr>
            <w:webHidden/>
          </w:rPr>
          <w:instrText>PAGEREF _Toc508398865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6">
        <w:r>
          <w:rPr>
            <w:webHidden/>
            <w:rStyle w:val="IndexLink"/>
          </w:rPr>
          <w:t>3.2.3 Approving or disapproving changes</w:t>
        </w:r>
        <w:r>
          <w:rPr>
            <w:webHidden/>
          </w:rPr>
          <w:fldChar w:fldCharType="begin"/>
        </w:r>
        <w:r>
          <w:rPr>
            <w:webHidden/>
          </w:rPr>
          <w:instrText>PAGEREF _Toc508398866 \h</w:instrText>
        </w:r>
        <w:r>
          <w:rPr>
            <w:webHidden/>
          </w:rPr>
          <w:fldChar w:fldCharType="separate"/>
        </w:r>
        <w:r>
          <w:rPr>
            <w:rStyle w:val="IndexLink"/>
            <w:vanish w:val="false"/>
          </w:rPr>
          <w:tab/>
          <w:t>11</w:t>
        </w:r>
        <w:r>
          <w:rPr>
            <w:webHidden/>
          </w:rPr>
          <w:fldChar w:fldCharType="end"/>
        </w:r>
      </w:hyperlink>
    </w:p>
    <w:p>
      <w:pPr>
        <w:pStyle w:val="Contents3"/>
        <w:tabs>
          <w:tab w:val="right" w:pos="9350" w:leader="dot"/>
        </w:tabs>
        <w:rPr/>
      </w:pPr>
      <w:hyperlink w:anchor="_Toc508398867">
        <w:r>
          <w:rPr>
            <w:webHidden/>
            <w:rStyle w:val="IndexLink"/>
          </w:rPr>
          <w:t>3.2.4 Implementing changes</w:t>
        </w:r>
        <w:r>
          <w:rPr>
            <w:webHidden/>
          </w:rPr>
          <w:fldChar w:fldCharType="begin"/>
        </w:r>
        <w:r>
          <w:rPr>
            <w:webHidden/>
          </w:rPr>
          <w:instrText>PAGEREF _Toc508398867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68">
        <w:r>
          <w:rPr>
            <w:webHidden/>
            <w:rStyle w:val="IndexLink"/>
          </w:rPr>
          <w:t>3.3. Configuration status accounting</w:t>
        </w:r>
        <w:r>
          <w:rPr>
            <w:webHidden/>
          </w:rPr>
          <w:fldChar w:fldCharType="begin"/>
        </w:r>
        <w:r>
          <w:rPr>
            <w:webHidden/>
          </w:rPr>
          <w:instrText>PAGEREF _Toc508398868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69">
        <w:r>
          <w:rPr>
            <w:webHidden/>
            <w:rStyle w:val="IndexLink"/>
          </w:rPr>
          <w:t>3.4. Configuration evaluation and reviews</w:t>
        </w:r>
        <w:r>
          <w:rPr>
            <w:webHidden/>
          </w:rPr>
          <w:fldChar w:fldCharType="begin"/>
        </w:r>
        <w:r>
          <w:rPr>
            <w:webHidden/>
          </w:rPr>
          <w:instrText>PAGEREF _Toc508398869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70">
        <w:r>
          <w:rPr>
            <w:webHidden/>
            <w:rStyle w:val="IndexLink"/>
          </w:rPr>
          <w:t>3.5 Interface control</w:t>
        </w:r>
        <w:r>
          <w:rPr>
            <w:webHidden/>
          </w:rPr>
          <w:fldChar w:fldCharType="begin"/>
        </w:r>
        <w:r>
          <w:rPr>
            <w:webHidden/>
          </w:rPr>
          <w:instrText>PAGEREF _Toc508398870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pPr>
      <w:hyperlink w:anchor="_Toc508398871">
        <w:r>
          <w:rPr>
            <w:webHidden/>
            <w:rStyle w:val="IndexLink"/>
          </w:rPr>
          <w:t>3.6 Subcontractor/vendor control</w:t>
        </w:r>
        <w:r>
          <w:rPr>
            <w:webHidden/>
          </w:rPr>
          <w:fldChar w:fldCharType="begin"/>
        </w:r>
        <w:r>
          <w:rPr>
            <w:webHidden/>
          </w:rPr>
          <w:instrText>PAGEREF _Toc508398871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508398872">
        <w:r>
          <w:rPr>
            <w:webHidden/>
            <w:rStyle w:val="IndexLink"/>
          </w:rPr>
          <w:t>3.7. Release management and delivery</w:t>
        </w:r>
        <w:r>
          <w:rPr>
            <w:webHidden/>
          </w:rPr>
          <w:fldChar w:fldCharType="begin"/>
        </w:r>
        <w:r>
          <w:rPr>
            <w:webHidden/>
          </w:rPr>
          <w:instrText>PAGEREF _Toc508398872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73">
        <w:r>
          <w:rPr>
            <w:webHidden/>
            <w:rStyle w:val="IndexLink"/>
          </w:rPr>
          <w:t>4. SCM Schedules</w:t>
        </w:r>
        <w:r>
          <w:rPr>
            <w:webHidden/>
          </w:rPr>
          <w:fldChar w:fldCharType="begin"/>
        </w:r>
        <w:r>
          <w:rPr>
            <w:webHidden/>
          </w:rPr>
          <w:instrText>PAGEREF _Toc508398873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74">
        <w:r>
          <w:rPr>
            <w:webHidden/>
            <w:rStyle w:val="IndexLink"/>
          </w:rPr>
          <w:t>5. SCM Resources</w:t>
        </w:r>
        <w:r>
          <w:rPr>
            <w:webHidden/>
          </w:rPr>
          <w:fldChar w:fldCharType="begin"/>
        </w:r>
        <w:r>
          <w:rPr>
            <w:webHidden/>
          </w:rPr>
          <w:instrText>PAGEREF _Toc508398874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pPr>
      <w:hyperlink w:anchor="_Toc508398875">
        <w:r>
          <w:rPr>
            <w:webHidden/>
            <w:rStyle w:val="IndexLink"/>
          </w:rPr>
          <w:t>5.1 Environment, infrastructure, tools, techniques, equipment, personnel, and training</w:t>
        </w:r>
        <w:r>
          <w:rPr>
            <w:webHidden/>
          </w:rPr>
          <w:fldChar w:fldCharType="begin"/>
        </w:r>
        <w:r>
          <w:rPr>
            <w:webHidden/>
          </w:rPr>
          <w:instrText>PAGEREF _Toc508398875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6">
        <w:r>
          <w:rPr>
            <w:webHidden/>
            <w:rStyle w:val="IndexLink"/>
          </w:rPr>
          <w:t>5.1.1 Configuration identification</w:t>
        </w:r>
        <w:r>
          <w:rPr>
            <w:webHidden/>
          </w:rPr>
          <w:fldChar w:fldCharType="begin"/>
        </w:r>
        <w:r>
          <w:rPr>
            <w:webHidden/>
          </w:rPr>
          <w:instrText>PAGEREF _Toc508398876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7">
        <w:r>
          <w:rPr>
            <w:webHidden/>
            <w:rStyle w:val="IndexLink"/>
          </w:rPr>
          <w:t>5.1.2. Configuration control</w:t>
        </w:r>
        <w:r>
          <w:rPr>
            <w:webHidden/>
          </w:rPr>
          <w:fldChar w:fldCharType="begin"/>
        </w:r>
        <w:r>
          <w:rPr>
            <w:webHidden/>
          </w:rPr>
          <w:instrText>PAGEREF _Toc508398877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8">
        <w:r>
          <w:rPr>
            <w:webHidden/>
            <w:rStyle w:val="IndexLink"/>
          </w:rPr>
          <w:t>5.1.3. Configuration status accounting</w:t>
        </w:r>
        <w:r>
          <w:rPr>
            <w:webHidden/>
          </w:rPr>
          <w:fldChar w:fldCharType="begin"/>
        </w:r>
        <w:r>
          <w:rPr>
            <w:webHidden/>
          </w:rPr>
          <w:instrText>PAGEREF _Toc508398878 \h</w:instrText>
        </w:r>
        <w:r>
          <w:rPr>
            <w:webHidden/>
          </w:rPr>
          <w:fldChar w:fldCharType="separate"/>
        </w:r>
        <w:r>
          <w:rPr>
            <w:rStyle w:val="IndexLink"/>
            <w:vanish w:val="false"/>
          </w:rPr>
          <w:tab/>
          <w:t>13</w:t>
        </w:r>
        <w:r>
          <w:rPr>
            <w:webHidden/>
          </w:rPr>
          <w:fldChar w:fldCharType="end"/>
        </w:r>
      </w:hyperlink>
    </w:p>
    <w:p>
      <w:pPr>
        <w:pStyle w:val="Contents3"/>
        <w:tabs>
          <w:tab w:val="right" w:pos="9350" w:leader="dot"/>
        </w:tabs>
        <w:rPr/>
      </w:pPr>
      <w:hyperlink w:anchor="_Toc508398879">
        <w:r>
          <w:rPr>
            <w:webHidden/>
            <w:rStyle w:val="IndexLink"/>
          </w:rPr>
          <w:t>5.1.4. Configuration evaluation and reviews</w:t>
        </w:r>
        <w:r>
          <w:rPr>
            <w:webHidden/>
          </w:rPr>
          <w:fldChar w:fldCharType="begin"/>
        </w:r>
        <w:r>
          <w:rPr>
            <w:webHidden/>
          </w:rPr>
          <w:instrText>PAGEREF _Toc508398879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0">
        <w:r>
          <w:rPr>
            <w:webHidden/>
            <w:rStyle w:val="IndexLink"/>
          </w:rPr>
          <w:t>5.1.5 Interface Control</w:t>
        </w:r>
        <w:r>
          <w:rPr>
            <w:webHidden/>
          </w:rPr>
          <w:fldChar w:fldCharType="begin"/>
        </w:r>
        <w:r>
          <w:rPr>
            <w:webHidden/>
          </w:rPr>
          <w:instrText>PAGEREF _Toc508398880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1">
        <w:r>
          <w:rPr>
            <w:webHidden/>
            <w:rStyle w:val="IndexLink"/>
          </w:rPr>
          <w:t>5.1.6 Subcontractor/vendor control</w:t>
        </w:r>
        <w:r>
          <w:rPr>
            <w:webHidden/>
          </w:rPr>
          <w:fldChar w:fldCharType="begin"/>
        </w:r>
        <w:r>
          <w:rPr>
            <w:webHidden/>
          </w:rPr>
          <w:instrText>PAGEREF _Toc508398881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pPr>
      <w:hyperlink w:anchor="_Toc508398882">
        <w:r>
          <w:rPr>
            <w:webHidden/>
            <w:rStyle w:val="IndexLink"/>
          </w:rPr>
          <w:t>5.1.7. Release Management and Delivery</w:t>
        </w:r>
        <w:r>
          <w:rPr>
            <w:webHidden/>
          </w:rPr>
          <w:fldChar w:fldCharType="begin"/>
        </w:r>
        <w:r>
          <w:rPr>
            <w:webHidden/>
          </w:rPr>
          <w:instrText>PAGEREF _Toc508398882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pPr>
      <w:hyperlink w:anchor="_Toc508398883">
        <w:r>
          <w:rPr>
            <w:webHidden/>
            <w:rStyle w:val="IndexLink"/>
          </w:rPr>
          <w:t>5.2 Key factors for infrastructure:</w:t>
        </w:r>
        <w:r>
          <w:rPr>
            <w:webHidden/>
          </w:rPr>
          <w:fldChar w:fldCharType="begin"/>
        </w:r>
        <w:r>
          <w:rPr>
            <w:webHidden/>
          </w:rPr>
          <w:instrText>PAGEREF _Toc508398883 \h</w:instrText>
        </w:r>
        <w:r>
          <w:rPr>
            <w:webHidden/>
          </w:rPr>
          <w:fldChar w:fldCharType="separate"/>
        </w:r>
        <w:r>
          <w:rPr>
            <w:rStyle w:val="IndexLink"/>
            <w:vanish w:val="false"/>
          </w:rPr>
          <w:tab/>
          <w:t>14</w:t>
        </w:r>
        <w:r>
          <w:rPr>
            <w:webHidden/>
          </w:rPr>
          <w:fldChar w:fldCharType="end"/>
        </w:r>
      </w:hyperlink>
    </w:p>
    <w:p>
      <w:pPr>
        <w:pStyle w:val="Contents1"/>
        <w:tabs>
          <w:tab w:val="right" w:pos="9350" w:leader="dot"/>
        </w:tabs>
        <w:rPr>
          <w:rFonts w:ascii="Cambria" w:hAnsi="Cambria" w:eastAsia="" w:cs="" w:asciiTheme="minorHAnsi" w:cstheme="minorBidi" w:eastAsiaTheme="minorEastAsia" w:hAnsiTheme="minorHAnsi"/>
          <w:color w:val="00000A"/>
          <w:sz w:val="24"/>
          <w:szCs w:val="24"/>
        </w:rPr>
      </w:pPr>
      <w:hyperlink w:anchor="_Toc508398884">
        <w:r>
          <w:rPr>
            <w:webHidden/>
            <w:rStyle w:val="IndexLink"/>
          </w:rPr>
          <w:t>6. SCM Plan Maintenance</w:t>
        </w:r>
        <w:r>
          <w:rPr>
            <w:webHidden/>
          </w:rPr>
          <w:fldChar w:fldCharType="begin"/>
        </w:r>
        <w:r>
          <w:rPr>
            <w:webHidden/>
          </w:rPr>
          <w:instrText>PAGEREF _Toc508398884 \h</w:instrText>
        </w:r>
        <w:r>
          <w:rPr>
            <w:webHidden/>
          </w:rPr>
          <w:fldChar w:fldCharType="separate"/>
        </w:r>
        <w:r>
          <w:rPr>
            <w:rStyle w:val="IndexLink"/>
            <w:vanish w:val="false"/>
          </w:rPr>
          <w:tab/>
          <w:t>15</w:t>
        </w:r>
        <w:r>
          <w:rPr>
            <w:webHidden/>
          </w:rPr>
          <w:fldChar w:fldCharType="end"/>
        </w:r>
      </w:hyperlink>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rPr>
          <w:b/>
          <w:rFonts w:eastAsia="Times New Roman" w:cs="Times New Roman" w:ascii="Times New Roman" w:hAnsi="Times New Roman"/>
        </w:rPr>
        <w:fldChar w:fldCharType="end"/>
      </w:r>
    </w:p>
    <w:p>
      <w:pPr>
        <w:pStyle w:val="Head1"/>
        <w:rPr/>
      </w:pPr>
      <w:bookmarkStart w:id="0" w:name="_Toc508398841"/>
      <w:r>
        <w:rPr/>
        <w:t>1. Introduction</w:t>
      </w:r>
      <w:bookmarkEnd w:id="0"/>
    </w:p>
    <w:p>
      <w:pPr>
        <w:pStyle w:val="Head2"/>
        <w:rPr/>
      </w:pPr>
      <w:bookmarkStart w:id="1" w:name="_Toc508398842"/>
      <w:r>
        <w:rPr/>
        <w:t>1.1 Purpose</w:t>
      </w:r>
      <w:bookmarkEnd w:id="1"/>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This plan exists to ensure orderly, controlled management of changes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primary users of this document are assumed to be those participating in SCM activities as part of the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2"/>
        <w:rPr/>
      </w:pPr>
      <w:bookmarkStart w:id="2" w:name="_Toc508398843"/>
      <w:r>
        <w:rPr/>
        <w:t>1.2 Scope</w:t>
      </w:r>
      <w:bookmarkEnd w:id="2"/>
    </w:p>
    <w:p>
      <w:pPr>
        <w:pStyle w:val="Head3"/>
        <w:rPr/>
      </w:pPr>
      <w:bookmarkStart w:id="3" w:name="_Toc508398844"/>
      <w:r>
        <w:rPr/>
        <w:t>1.2.1 Overview description of the software project.</w:t>
      </w:r>
      <w:bookmarkEnd w:id="3"/>
      <w:r>
        <w:rPr/>
        <w:t xml:space="preserve"> </w:t>
      </w:r>
    </w:p>
    <w:p>
      <w:pPr>
        <w:pStyle w:val="Normal"/>
        <w:spacing w:lineRule="auto" w:line="240"/>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application is designed to provide college students at Texas Tech University with a better way to find their classes, navigate through campus, and schedule their day. </w:t>
      </w:r>
    </w:p>
    <w:p>
      <w:pPr>
        <w:pStyle w:val="Head3"/>
        <w:rPr/>
      </w:pPr>
      <w:bookmarkStart w:id="4" w:name="_Toc508398845"/>
      <w:r>
        <w:rPr/>
        <w:t>1.2.2 Applicability</w:t>
      </w:r>
      <w:bookmarkEnd w:id="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pPr>
        <w:pStyle w:val="Head3"/>
        <w:rPr/>
      </w:pPr>
      <w:bookmarkStart w:id="5" w:name="_Toc508398846"/>
      <w:r>
        <w:rPr/>
        <w:t>1.2.3 Identification of other software to be included as part of the plan</w:t>
      </w:r>
      <w:bookmarkEnd w:id="5"/>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pPr>
        <w:pStyle w:val="Head3"/>
        <w:rPr/>
      </w:pPr>
      <w:bookmarkStart w:id="6" w:name="_Toc508398847"/>
      <w:r>
        <w:rPr/>
        <w:t>1.2.4 Relationship of SCM to the hardware or SCM activities for the project</w:t>
      </w:r>
      <w:bookmarkEnd w:id="6"/>
    </w:p>
    <w:p>
      <w:pPr>
        <w:pStyle w:val="Normal"/>
        <w:ind w:left="2160" w:hanging="0"/>
        <w:rPr>
          <w:color w:themeColor="text1"/>
        </w:rPr>
      </w:pPr>
      <w:r>
        <w:rPr>
          <w:rFonts w:eastAsia="Times New Roman" w:cs="Times New Roman" w:ascii="Times New Roman" w:hAnsi="Times New Roman"/>
          <w:color w:val="000000" w:themeColor="text1"/>
        </w:rPr>
        <w:t>No relationship between the SCM and hardware activities has been identified.</w:t>
      </w:r>
    </w:p>
    <w:p>
      <w:pPr>
        <w:pStyle w:val="Head3"/>
        <w:rPr/>
      </w:pPr>
      <w:bookmarkStart w:id="7" w:name="_Toc508398848"/>
      <w:r>
        <w:rPr/>
        <w:t>1.2.5 The degree of formality, depth of control, and portion of the software life cycle for applying SCM on this project</w:t>
      </w:r>
      <w:bookmarkEnd w:id="7"/>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SCM will be applied informally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Flexibility and loose adherence is expected. This SCM applies to all portions of the software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ind w:left="1440" w:hanging="0"/>
        <w:rPr>
          <w:rFonts w:ascii="Times New Roman" w:hAnsi="Times New Roman" w:eastAsia="Times New Roman" w:cs="Times New Roman"/>
          <w:i/>
          <w:i/>
          <w:color w:val="000000" w:themeColor="text1"/>
        </w:rPr>
      </w:pPr>
      <w:r>
        <w:rPr>
          <w:rFonts w:eastAsia="Times New Roman" w:cs="Times New Roman" w:ascii="Times New Roman" w:hAnsi="Times New Roman"/>
          <w:i/>
          <w:color w:val="000000" w:themeColor="text1"/>
        </w:rPr>
      </w:r>
      <w:r>
        <w:br w:type="page"/>
      </w:r>
    </w:p>
    <w:p>
      <w:pPr>
        <w:pStyle w:val="Head3"/>
        <w:rPr/>
      </w:pPr>
      <w:bookmarkStart w:id="8" w:name="_Toc508398849"/>
      <w:r>
        <w:rPr/>
        <w:t>1.2.6 Limitations</w:t>
      </w:r>
      <w:bookmarkEnd w:id="8"/>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Limitations which apply to this plan include:</w:t>
      </w:r>
    </w:p>
    <w:p>
      <w:pPr>
        <w:pStyle w:val="Normal"/>
        <w:numPr>
          <w:ilvl w:val="0"/>
          <w:numId w:val="2"/>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Time constraints - In the event that a change is inconsistent with this plan and a short deadline requires the change, implementation of the change takes precedence over adherence to this plan.</w:t>
      </w:r>
    </w:p>
    <w:p>
      <w:pPr>
        <w:pStyle w:val="Head3"/>
        <w:rPr/>
      </w:pPr>
      <w:bookmarkStart w:id="9" w:name="_Toc508398850"/>
      <w:r>
        <w:rPr/>
        <w:t>1.2.7 Assumptions that might have an impact on the cost, schedule, or ability to perform defined SCM activities</w:t>
      </w:r>
      <w:bookmarkEnd w:id="9"/>
      <w:r>
        <w:rPr/>
        <w:t xml:space="preserve"> </w:t>
      </w:r>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pPr>
        <w:pStyle w:val="Head2"/>
        <w:rPr/>
      </w:pPr>
      <w:bookmarkStart w:id="10" w:name="_Toc508398851"/>
      <w:r>
        <w:rPr/>
        <w:t>1.3 Key Terms</w:t>
      </w:r>
      <w:bookmarkEnd w:id="10"/>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Key terms used in this plan include: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Agile - A software development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API - Application Programming Interface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 A specific system; list of all specific component versions included in the system plus a specification of the libraries and configuration files involved</w:t>
      </w:r>
    </w:p>
    <w:p>
      <w:pPr>
        <w:pStyle w:val="Normal"/>
        <w:numPr>
          <w:ilvl w:val="0"/>
          <w:numId w:val="3"/>
        </w:numPr>
        <w:spacing w:before="0" w:after="160"/>
        <w:contextualSpacing/>
        <w:rPr/>
      </w:pPr>
      <w:r>
        <w:rPr>
          <w:rFonts w:eastAsia="Times New Roman" w:cs="Times New Roman" w:ascii="Times New Roman" w:hAnsi="Times New Roman"/>
          <w:color w:val="000000" w:themeColor="text1"/>
        </w:rPr>
        <w:t xml:space="preserve">CI - Configuration Item </w:t>
      </w:r>
      <w:r>
        <w:rPr>
          <w:rFonts w:eastAsia="Times New Roman" w:cs="Times New Roman" w:ascii="Times New Roman" w:hAnsi="Times New Roman"/>
          <w:color w:val="000000" w:themeColor="text1"/>
        </w:rPr>
        <w:t>(except in the case of TravisCI, where it stands for Continuous Integration)</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Codeline - Sequence of versions of code with later versions derived from earlier versions; applies to each component separately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IDE - Integrated Development Environment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Mainline - A sequence of baselines representing different versions of a system</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 Customer requesting software in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 Software Configuration Management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 An Agile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 Project manager of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SDLC - Software Development Lifecycle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w:t>
      </w:r>
      <w:r>
        <w:rPr>
          <w:rFonts w:eastAsia="Times New Roman" w:cs="Times New Roman" w:ascii="Times New Roman" w:hAnsi="Times New Roman"/>
          <w:color w:val="000000" w:themeColor="text1"/>
        </w:rPr>
        <w:t>The Plan”/“this plan” - This document</w:t>
      </w:r>
    </w:p>
    <w:p>
      <w:pPr>
        <w:pStyle w:val="Head2"/>
        <w:rPr/>
      </w:pPr>
      <w:bookmarkStart w:id="11" w:name="_Toc508398852"/>
      <w:r>
        <w:rPr/>
        <w:t>1.4 References</w:t>
      </w:r>
      <w:bookmarkEnd w:id="11"/>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includes all references to policies, directives, procedures, standards, terminology, and related documents.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 is meant to conform to the requirements of IEEE Std 828-2005.</w:t>
      </w:r>
    </w:p>
    <w:p>
      <w:pPr>
        <w:pStyle w:val="Normal"/>
        <w:ind w:left="144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12" w:name="_Toc508398853"/>
      <w:r>
        <w:rPr/>
        <w:t>2. SCM Management</w:t>
      </w:r>
      <w:bookmarkEnd w:id="12"/>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is intended to be used by organizations and individuals within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structure. It identifies the responsibilities (and allocation thereof) and authorities for managing and accomplishing planned SCM activities.</w:t>
      </w:r>
    </w:p>
    <w:p>
      <w:pPr>
        <w:pStyle w:val="Head2"/>
        <w:rPr/>
      </w:pPr>
      <w:bookmarkStart w:id="13" w:name="_Toc508398854"/>
      <w:r>
        <w:rPr/>
        <w:t>2.1 Organization</w:t>
      </w:r>
      <w:bookmarkEnd w:id="13"/>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as outlined in this plan applies to Team Getana. Team Getana is responsible for any and all SCM activity on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as well as the problem resolution process.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Getana members include Arpit Desai, Brody Williams, Michael Acosta, Vasilis Vloutis, Sakshyam Silwal, and Yong Wu.</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pPr>
        <w:pStyle w:val="Head2"/>
        <w:rPr/>
      </w:pPr>
      <w:bookmarkStart w:id="14" w:name="_Toc508398855"/>
      <w:r>
        <w:rPr/>
        <w:t>2.2. Responsibilities</w:t>
      </w:r>
      <w:bookmarkEnd w:id="14"/>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Product Owner will prioritize features to be implemented in the project and be responsible for generating new user stories for the project.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Development Team will be responsible for implementation and documentation.</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 rotation schedules follow.</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0: No team member was assigned any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w:t>
      </w:r>
    </w:p>
    <w:tbl>
      <w:tblPr>
        <w:tblStyle w:val="a"/>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bookmarkStart w:id="15" w:name="_gjdgxs"/>
            <w:bookmarkStart w:id="16" w:name="_gjdgxs"/>
            <w:bookmarkEnd w:id="16"/>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 xml:space="preserve">Deliverable 2 </w:t>
      </w:r>
      <w:r>
        <w:rPr>
          <w:rFonts w:eastAsia="Times New Roman" w:cs="Times New Roman" w:ascii="Times New Roman" w:hAnsi="Times New Roman"/>
          <w:color w:val="000000" w:themeColor="text1"/>
        </w:rPr>
        <w:t>(Sprints 2 and 3)</w:t>
      </w:r>
      <w:r>
        <w:rPr>
          <w:rFonts w:eastAsia="Times New Roman" w:cs="Times New Roman" w:ascii="Times New Roman" w:hAnsi="Times New Roman"/>
          <w:color w:val="000000" w:themeColor="text1"/>
        </w:rPr>
        <w:t>:</w:t>
      </w:r>
    </w:p>
    <w:tbl>
      <w:tblPr>
        <w:tblStyle w:val="a0"/>
        <w:tblW w:w="4680"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Deliverable 3 </w:t>
      </w:r>
      <w:r>
        <w:rPr>
          <w:rFonts w:eastAsia="Times New Roman" w:cs="Times New Roman" w:ascii="Times New Roman" w:hAnsi="Times New Roman"/>
          <w:color w:val="000000" w:themeColor="text1"/>
        </w:rPr>
        <w:t>(Sprint 4)</w:t>
      </w:r>
      <w:r>
        <w:rPr>
          <w:rFonts w:eastAsia="Times New Roman" w:cs="Times New Roman" w:ascii="Times New Roman" w:hAnsi="Times New Roman"/>
          <w:color w:val="000000" w:themeColor="text1"/>
        </w:rPr>
        <w:t>:</w:t>
      </w:r>
    </w:p>
    <w:tbl>
      <w:tblPr>
        <w:tblStyle w:val="a1"/>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3 (Sprint 5):</w:t>
      </w:r>
    </w:p>
    <w:tbl>
      <w:tblPr>
        <w:tblStyle w:val="a1"/>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Yong</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
      <w:r>
        <w:br w:type="page"/>
      </w:r>
    </w:p>
    <w:p>
      <w:pPr>
        <w:pStyle w:val="Normal"/>
        <w:ind w:left="1440" w:hanging="0"/>
        <w:rPr/>
      </w:pPr>
      <w:r>
        <w:rPr>
          <w:rFonts w:eastAsia="Times New Roman" w:cs="Times New Roman" w:ascii="Times New Roman" w:hAnsi="Times New Roman"/>
          <w:color w:val="000000" w:themeColor="text1"/>
        </w:rPr>
        <w:t>Deliverable 4:</w:t>
      </w:r>
    </w:p>
    <w:tbl>
      <w:tblPr>
        <w:tblStyle w:val="a2"/>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sz w:val="20"/>
                <w:szCs w:val="20"/>
              </w:rPr>
            </w:pPr>
            <w:r>
              <w:rPr>
                <w:rFonts w:eastAsia="Times New Roman" w:cs="Times New Roman" w:ascii="Times New Roman" w:hAnsi="Times New Roman"/>
                <w:color w:val="000000" w:themeColor="text1"/>
              </w:rPr>
              <w:t>TBD</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TBD</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90" w:type="dxa"/>
              <w:bottom w:w="100" w:type="dxa"/>
              <w:right w:w="100" w:type="dxa"/>
            </w:tcMar>
          </w:tcPr>
          <w:p>
            <w:pPr>
              <w:pStyle w:val="Normal"/>
              <w:widowControl/>
              <w:pBdr/>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2"/>
        <w:ind w:left="720" w:hanging="0"/>
        <w:rPr/>
      </w:pPr>
      <w:bookmarkStart w:id="17" w:name="_Toc508398856"/>
      <w:r>
        <w:rPr/>
        <w:t>2.3. Applicable policies, directives, and procedures</w:t>
      </w:r>
      <w:bookmarkEnd w:id="17"/>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SCM policies, directives, or external procedures have been identified to apply to this project.</w:t>
      </w:r>
    </w:p>
    <w:p>
      <w:pPr>
        <w:pStyle w:val="Head2"/>
        <w:rPr/>
      </w:pPr>
      <w:bookmarkStart w:id="18" w:name="_Toc508398857"/>
      <w:r>
        <w:rPr/>
        <w:t>2.4 Management of the SCM process</w:t>
      </w:r>
      <w:bookmarkEnd w:id="18"/>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Team Getana is responsible for the overall SCM process.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Independent surveillance of SCM activities to ensure compliance with the SCM plan will not take place, and no organization will be assigned this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Risks, including technical, economic, schedule, and managerial risks associated with the performance of SCM activities include:</w:t>
      </w:r>
    </w:p>
    <w:p>
      <w:pPr>
        <w:pStyle w:val="Normal"/>
        <w:numPr>
          <w:ilvl w:val="0"/>
          <w:numId w:val="1"/>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19" w:name="_Toc508398858"/>
      <w:r>
        <w:rPr/>
        <w:t>3. SCM Activities</w:t>
      </w:r>
      <w:bookmarkEnd w:id="19"/>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pPr>
        <w:pStyle w:val="Head2"/>
        <w:rPr/>
      </w:pPr>
      <w:bookmarkStart w:id="20" w:name="_Toc508398859"/>
      <w:r>
        <w:rPr/>
        <w:t>3.1 Configuration identification</w:t>
      </w:r>
      <w:bookmarkEnd w:id="20"/>
      <w:r>
        <w:rPr/>
        <w:t xml:space="preserve"> </w:t>
      </w:r>
    </w:p>
    <w:p>
      <w:pPr>
        <w:pStyle w:val="Head3"/>
        <w:rPr/>
      </w:pPr>
      <w:bookmarkStart w:id="21" w:name="_Toc508398860"/>
      <w:r>
        <w:rPr/>
        <w:t>3.1.1 Identify configuration items (events, items, procedures)</w:t>
      </w:r>
      <w:bookmarkEnd w:id="21"/>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baseline is triggered by deliverable dates. Each deliverable will be regarded as the next iteration of the baseline.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Items controlled in the baseline include: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File format for application file storage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External API versions</w:t>
      </w:r>
    </w:p>
    <w:p>
      <w:pPr>
        <w:pStyle w:val="Normal"/>
        <w:numPr>
          <w:ilvl w:val="0"/>
          <w:numId w:val="4"/>
        </w:numPr>
        <w:spacing w:before="0" w:after="160"/>
        <w:contextualSpacing/>
        <w:rPr/>
      </w:pPr>
      <w:r>
        <w:rPr>
          <w:rFonts w:eastAsia="Times New Roman" w:cs="Times New Roman" w:ascii="Times New Roman" w:hAnsi="Times New Roman"/>
          <w:color w:val="000000" w:themeColor="text1"/>
        </w:rPr>
        <w:t xml:space="preserve">Domain </w:t>
      </w:r>
      <w:r>
        <w:rPr>
          <w:rFonts w:eastAsia="Times New Roman" w:cs="Times New Roman" w:ascii="Times New Roman" w:hAnsi="Times New Roman"/>
          <w:color w:val="000000" w:themeColor="text1"/>
        </w:rPr>
        <w:t xml:space="preserve">Model &amp; Detailed </w:t>
      </w:r>
      <w:r>
        <w:rPr>
          <w:rFonts w:eastAsia="Times New Roman" w:cs="Times New Roman" w:ascii="Times New Roman" w:hAnsi="Times New Roman"/>
          <w:color w:val="000000" w:themeColor="text1"/>
        </w:rPr>
        <w:t>Design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Architecture &amp; Design Pattern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Platform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Backlog</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Backlog</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Requirements Specification</w:t>
      </w:r>
    </w:p>
    <w:p>
      <w:pPr>
        <w:pStyle w:val="Normal"/>
        <w:numPr>
          <w:ilvl w:val="0"/>
          <w:numId w:val="4"/>
        </w:numPr>
        <w:spacing w:before="0" w:after="160"/>
        <w:contextualSpacing/>
        <w:rPr/>
      </w:pPr>
      <w:r>
        <w:rPr>
          <w:rFonts w:eastAsia="Times New Roman" w:cs="Times New Roman" w:ascii="Times New Roman" w:hAnsi="Times New Roman"/>
          <w:color w:val="000000" w:themeColor="text1"/>
        </w:rPr>
        <w:t>GRL &amp; UCM Models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Member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review</w:t>
      </w:r>
    </w:p>
    <w:p>
      <w:pPr>
        <w:pStyle w:val="Normal"/>
        <w:numPr>
          <w:ilvl w:val="0"/>
          <w:numId w:val="4"/>
        </w:numPr>
        <w:spacing w:before="0" w:after="160"/>
        <w:contextualSpacing/>
        <w:rPr/>
      </w:pPr>
      <w:r>
        <w:rPr>
          <w:rFonts w:eastAsia="Times New Roman" w:cs="Times New Roman" w:ascii="Times New Roman" w:hAnsi="Times New Roman"/>
          <w:color w:val="000000" w:themeColor="text1"/>
        </w:rPr>
        <w:t>Focus Group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Usability Study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Daily Scrum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cases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plans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APK files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Support environments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between team members is sufficient to approve changes to the baseline.</w:t>
      </w:r>
    </w:p>
    <w:p>
      <w:pPr>
        <w:pStyle w:val="Normal"/>
        <w:ind w:left="2160" w:hanging="0"/>
        <w:rPr/>
      </w:pPr>
      <w:r>
        <w:rPr>
          <w:rFonts w:eastAsia="Times New Roman" w:cs="Times New Roman" w:ascii="Times New Roman" w:hAnsi="Times New Roman"/>
          <w:color w:val="000000" w:themeColor="text1"/>
        </w:rPr>
        <w:t xml:space="preserve">In order to identify CIs which should be controlled by this plan, care must be taken by team members to observe product breakages. In the event that a product breakage occurs, a review and </w:t>
      </w:r>
      <w:r>
        <w:rPr>
          <w:rFonts w:eastAsia="Times New Roman" w:cs="Times New Roman" w:ascii="Times New Roman" w:hAnsi="Times New Roman"/>
          <w:color w:val="000000" w:themeColor="text1"/>
        </w:rPr>
        <w:t>casual</w:t>
      </w:r>
      <w:r>
        <w:rPr>
          <w:rFonts w:eastAsia="Times New Roman" w:cs="Times New Roman" w:ascii="Times New Roman" w:hAnsi="Times New Roman"/>
          <w:color w:val="000000" w:themeColor="text1"/>
        </w:rPr>
        <w:t xml:space="preserve"> cost-benefit analysis must be performed to determine whether the changed item will create more overhead as a controlled CI than will result from fixing future breakages. If the CI would likely create less overhead while controlled, it should be added to this plan.</w:t>
      </w:r>
    </w:p>
    <w:p>
      <w:pPr>
        <w:pStyle w:val="Head3"/>
        <w:rPr/>
      </w:pPr>
      <w:bookmarkStart w:id="22" w:name="_Toc508398861"/>
      <w:r>
        <w:rPr/>
        <w:t>3.1.2 Name configuration items (unique identifiers)</w:t>
      </w:r>
      <w:bookmarkEnd w:id="22"/>
      <w:r>
        <w:rPr/>
        <w:t xml:space="preserve"> </w:t>
      </w:r>
    </w:p>
    <w:p>
      <w:pPr>
        <w:pStyle w:val="Normal"/>
        <w:ind w:left="2160" w:hanging="0"/>
        <w:rPr/>
      </w:pPr>
      <w:r>
        <w:rPr>
          <w:rFonts w:eastAsia="Times New Roman" w:cs="Times New Roman" w:ascii="Times New Roman" w:hAnsi="Times New Roman"/>
          <w:color w:val="000000" w:themeColor="text1"/>
        </w:rPr>
        <w:t xml:space="preserve">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w:t>
      </w:r>
      <w:r>
        <w:rPr>
          <w:rFonts w:eastAsia="Times New Roman" w:cs="Times New Roman" w:ascii="Times New Roman" w:hAnsi="Times New Roman"/>
          <w:color w:val="000000" w:themeColor="text1"/>
        </w:rPr>
        <w:t>Uncontrolled items should be placed within the “artifacts” folder within the “docs” folder.</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Baselines will be referred to by deliverable number, but code will follow no such file naming convention.</w:t>
      </w:r>
    </w:p>
    <w:p>
      <w:pPr>
        <w:pStyle w:val="Head3"/>
        <w:rPr/>
      </w:pPr>
      <w:bookmarkStart w:id="23" w:name="_Toc508398862"/>
      <w:bookmarkStart w:id="24" w:name="_GoBack"/>
      <w:bookmarkEnd w:id="24"/>
      <w:r>
        <w:rPr/>
        <w:t>3.1.3 Acquiring configuration items (physical procedures)</w:t>
      </w:r>
      <w:bookmarkEnd w:id="23"/>
      <w:r>
        <w:rPr/>
        <w:t xml:space="preserve"> </w:t>
      </w:r>
    </w:p>
    <w:p>
      <w:pPr>
        <w:pStyle w:val="Normal"/>
        <w:ind w:left="2160" w:hanging="0"/>
        <w:rPr/>
      </w:pPr>
      <w:r>
        <w:rPr>
          <w:rFonts w:eastAsia="Times New Roman" w:cs="Times New Roman" w:ascii="Times New Roman" w:hAnsi="Times New Roman"/>
          <w:color w:val="000000" w:themeColor="text1"/>
        </w:rPr>
        <w:t xml:space="preserve">CIs will be maintained on GitHub at: </w:t>
        <w:tab/>
      </w:r>
      <w:hyperlink r:id="rId2">
        <w:r>
          <w:rPr>
            <w:rStyle w:val="ListLabel37"/>
            <w:rFonts w:eastAsia="Times New Roman" w:cs="Times New Roman" w:ascii="Times New Roman" w:hAnsi="Times New Roman"/>
            <w:color w:val="000000" w:themeColor="text1"/>
            <w:u w:val="single"/>
          </w:rPr>
          <w:t>https://www.github.com/aluminiumi/RaiderNAV</w:t>
        </w:r>
      </w:hyperlink>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physical documents will be controlled.</w:t>
      </w:r>
    </w:p>
    <w:p>
      <w:pPr>
        <w:pStyle w:val="Normal"/>
        <w:ind w:left="2160" w:hanging="0"/>
        <w:rPr/>
      </w:pPr>
      <w:r>
        <w:rPr>
          <w:rFonts w:eastAsia="Times New Roman" w:cs="Times New Roman" w:ascii="Times New Roman" w:hAnsi="Times New Roman"/>
          <w:color w:val="000000" w:themeColor="text1"/>
        </w:rPr>
        <w:t xml:space="preserve">External libraries will be pulled in by Gradle, and must be specified in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within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on the GitHub repository. </w:t>
      </w:r>
      <w:r>
        <w:rPr>
          <w:rFonts w:eastAsia="Times New Roman" w:cs="Times New Roman" w:ascii="Times New Roman" w:hAnsi="Times New Roman"/>
          <w:color w:val="000000" w:themeColor="text1"/>
        </w:rPr>
        <w:t xml:space="preserve">Software libraries, including documentation and data, will not be placed under physical control except insofar as specific versions will be identified for use. No documentation requirements or inspection requirements have been identified at this time. </w:t>
      </w: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in the root project folder (not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must include the following lines in the repositories block to ensure import of </w:t>
      </w:r>
      <w:r>
        <w:rPr>
          <w:rFonts w:eastAsia="Times New Roman" w:cs="Times New Roman" w:ascii="Times New Roman" w:hAnsi="Times New Roman"/>
          <w:color w:val="000000" w:themeColor="text1"/>
        </w:rPr>
        <w:t>currently-identified</w:t>
      </w:r>
      <w:r>
        <w:rPr>
          <w:rFonts w:eastAsia="Times New Roman" w:cs="Times New Roman" w:ascii="Times New Roman" w:hAnsi="Times New Roman"/>
          <w:color w:val="000000" w:themeColor="text1"/>
        </w:rPr>
        <w:t xml:space="preserve"> external libraries:</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google()</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jcenter()</w:t>
      </w:r>
    </w:p>
    <w:p>
      <w:pPr>
        <w:pStyle w:val="Normal"/>
        <w:ind w:left="2160" w:hanging="0"/>
        <w:rPr/>
      </w:pPr>
      <w:r>
        <w:rPr>
          <w:rFonts w:eastAsia="Times New Roman" w:cs="Times New Roman" w:ascii="Times New Roman" w:hAnsi="Times New Roman"/>
          <w:color w:val="000000" w:themeColor="text1"/>
        </w:rPr>
        <w:t>No retention periods or disaster prevention and recovery procedures are implemented.</w:t>
      </w:r>
    </w:p>
    <w:p>
      <w:pPr>
        <w:pStyle w:val="Normal"/>
        <w:ind w:left="2160" w:hanging="0"/>
        <w:rPr>
          <w:color w:themeColor="text1"/>
        </w:rPr>
      </w:pPr>
      <w:r>
        <w:rPr>
          <w:rFonts w:eastAsia="Times New Roman" w:cs="Times New Roman" w:ascii="Times New Roman" w:hAnsi="Times New Roman"/>
          <w:color w:val="000000" w:themeColor="text1"/>
        </w:rPr>
        <w:t>The following external libraries are controlled:</w:t>
      </w:r>
    </w:p>
    <w:p>
      <w:pPr>
        <w:pStyle w:val="Normal"/>
        <w:ind w:left="2880" w:hanging="0"/>
        <w:rPr>
          <w:i/>
          <w:i/>
          <w:iCs/>
          <w:color w:themeColor="text1"/>
        </w:rPr>
      </w:pPr>
      <w:r>
        <w:rPr>
          <w:rFonts w:eastAsia="Times New Roman" w:cs="Times New Roman" w:ascii="Times New Roman" w:hAnsi="Times New Roman"/>
          <w:i/>
          <w:iCs/>
          <w:color w:val="000000" w:themeColor="text1"/>
        </w:rPr>
        <w:t>3.1.3.1 Google Play Services Location</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9.2.0 or lower, as newer versions require newer versions are incompatible with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‘com.google.android.gms:play-services-location:9.2.0’</w:t>
      </w:r>
    </w:p>
    <w:p>
      <w:pPr>
        <w:pStyle w:val="Normal"/>
        <w:ind w:left="3600" w:hanging="0"/>
        <w:rPr>
          <w:i/>
          <w:i/>
          <w:iCs/>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3.1.3.2 Google Play Services Maps</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9.2.0 or lower, as newer versions require newer versions are incompatible with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'com.google.android.gms:play-services-maps:9.2.0'</w:t>
      </w:r>
    </w:p>
    <w:p>
      <w:pPr>
        <w:pStyle w:val="Normal"/>
        <w:ind w:left="3600" w:hanging="0"/>
        <w:rPr>
          <w:i/>
          <w:i/>
          <w:iCs/>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3.1.3.3 Google Gson</w:t>
      </w:r>
    </w:p>
    <w:p>
      <w:pPr>
        <w:pStyle w:val="Normal"/>
        <w:ind w:left="3600" w:hanging="0"/>
        <w:rPr>
          <w:rFonts w:ascii="FreeMono" w:hAnsi="FreeMono"/>
          <w:i w:val="false"/>
          <w:i w:val="false"/>
          <w:iCs w:val="false"/>
          <w:color w:themeColor="text1"/>
        </w:rPr>
      </w:pPr>
      <w:r>
        <w:rPr>
          <w:rFonts w:eastAsia="Times New Roman" w:cs="Times New Roman" w:ascii="Times New Roman" w:hAnsi="Times New Roman"/>
          <w:i w:val="false"/>
          <w:iCs w:val="false"/>
          <w:color w:val="000000" w:themeColor="text1"/>
        </w:rPr>
        <w:t>At this time, no specific version of this library has been identified for control. The latest available version may be used.</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'com.google.code.gson:gson:2.8.2'</w:t>
      </w:r>
    </w:p>
    <w:p>
      <w:pPr>
        <w:pStyle w:val="Normal"/>
        <w:ind w:left="3600" w:hanging="0"/>
        <w:rPr>
          <w:rFonts w:ascii="FreeMono" w:hAnsi="FreeMono"/>
          <w:i w:val="false"/>
          <w:i w:val="false"/>
          <w:iCs w:val="false"/>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w:t>
      </w:r>
    </w:p>
    <w:p>
      <w:pPr>
        <w:pStyle w:val="Normal"/>
        <w:ind w:left="2880" w:hanging="0"/>
        <w:rPr>
          <w:i/>
          <w:i/>
          <w:iCs/>
          <w:color w:themeColor="text1"/>
        </w:rPr>
      </w:pPr>
      <w:r>
        <w:rPr>
          <w:rFonts w:eastAsia="Times New Roman" w:cs="Times New Roman" w:ascii="Times New Roman" w:hAnsi="Times New Roman"/>
          <w:i/>
          <w:iCs/>
          <w:color w:val="000000" w:themeColor="text1"/>
        </w:rPr>
        <w:t>3.1.3.4 GoogleDirectionLibrary</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This library must be kept at version 1.0.4 or lower, as newer versions require newer versions of Google Play Services which are unavailable to Android 4.0.3. </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This library is included by placing the line</w:t>
      </w:r>
    </w:p>
    <w:p>
      <w:pPr>
        <w:pStyle w:val="Normal"/>
        <w:ind w:left="3600" w:hanging="0"/>
        <w:rPr>
          <w:rFonts w:ascii="FreeMono" w:hAnsi="FreeMono"/>
          <w:i w:val="false"/>
          <w:i w:val="false"/>
          <w:iCs w:val="false"/>
          <w:color w:themeColor="text1"/>
        </w:rPr>
      </w:pPr>
      <w:r>
        <w:rPr>
          <w:rFonts w:eastAsia="Times New Roman" w:cs="Times New Roman" w:ascii="FreeMono" w:hAnsi="FreeMono"/>
          <w:i w:val="false"/>
          <w:iCs w:val="false"/>
          <w:color w:val="000000" w:themeColor="text1"/>
        </w:rPr>
        <w:t>implementation 'com.akexorcist:googledirectionlibrary:1.0.4'</w:t>
      </w:r>
    </w:p>
    <w:p>
      <w:pPr>
        <w:pStyle w:val="Normal"/>
        <w:ind w:left="3600" w:hanging="0"/>
        <w:rPr>
          <w:i w:val="false"/>
          <w:i w:val="false"/>
          <w:iCs w:val="false"/>
          <w:color w:themeColor="text1"/>
        </w:rPr>
      </w:pPr>
      <w:r>
        <w:rPr>
          <w:rFonts w:eastAsia="Times New Roman" w:cs="Times New Roman" w:ascii="Times New Roman" w:hAnsi="Times New Roman"/>
          <w:i w:val="false"/>
          <w:iCs w:val="false"/>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i w:val="false"/>
          <w:iCs w:val="false"/>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i w:val="false"/>
          <w:iCs w:val="false"/>
          <w:color w:val="000000" w:themeColor="text1"/>
        </w:rPr>
        <w:t xml:space="preserve">. </w:t>
      </w:r>
    </w:p>
    <w:p>
      <w:pPr>
        <w:pStyle w:val="Head2"/>
        <w:rPr/>
      </w:pPr>
      <w:bookmarkStart w:id="25" w:name="_Toc508398863"/>
      <w:r>
        <w:rPr/>
        <w:t>3.2. Configuration control</w:t>
      </w:r>
      <w:bookmarkEnd w:id="25"/>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following change controls are imposed </w:t>
      </w:r>
      <w:r>
        <w:rPr>
          <w:rFonts w:eastAsia="Times New Roman" w:cs="Times New Roman" w:ascii="Times New Roman" w:hAnsi="Times New Roman"/>
          <w:color w:val="000000" w:themeColor="text1"/>
        </w:rPr>
        <w:t xml:space="preserve">on </w:t>
      </w:r>
      <w:r>
        <w:rPr>
          <w:rFonts w:eastAsia="Times New Roman" w:cs="Times New Roman" w:ascii="Times New Roman" w:hAnsi="Times New Roman"/>
          <w:color w:val="000000" w:themeColor="text1"/>
        </w:rPr>
        <w:t>all baselined CIs identified in 3.1.1.</w:t>
      </w:r>
    </w:p>
    <w:p>
      <w:pPr>
        <w:pStyle w:val="Head3"/>
        <w:rPr/>
      </w:pPr>
      <w:bookmarkStart w:id="26" w:name="_Toc508398864"/>
      <w:r>
        <w:rPr/>
        <w:t>3.2.1 Requesting changes</w:t>
      </w:r>
      <w:bookmarkEnd w:id="26"/>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To request a change to a baselined CI, the need for the change must be made known at a scrum meeting or by broadcast text messaging to the team. No record of the change request need be maintained.</w:t>
      </w:r>
    </w:p>
    <w:p>
      <w:pPr>
        <w:pStyle w:val="Head3"/>
        <w:rPr/>
      </w:pPr>
      <w:bookmarkStart w:id="27" w:name="_Toc508398865"/>
      <w:r>
        <w:rPr/>
        <w:t>3.2.2 Evaluating changes</w:t>
      </w:r>
      <w:bookmarkEnd w:id="27"/>
    </w:p>
    <w:p>
      <w:pPr>
        <w:pStyle w:val="Normal"/>
        <w:ind w:left="2160" w:hanging="0"/>
        <w:rPr/>
      </w:pPr>
      <w:r>
        <w:rPr>
          <w:rFonts w:eastAsia="Times New Roman" w:cs="Times New Roman" w:ascii="Times New Roman" w:hAnsi="Times New Roman"/>
          <w:color w:val="000000" w:themeColor="text1"/>
        </w:rPr>
        <w:t>Self-identified s</w:t>
      </w:r>
      <w:r>
        <w:rPr>
          <w:rFonts w:eastAsia="Times New Roman" w:cs="Times New Roman" w:ascii="Times New Roman" w:hAnsi="Times New Roman"/>
          <w:color w:val="000000" w:themeColor="text1"/>
        </w:rPr>
        <w:t>takeholders in the change will evaluate the change request and either approve or disapprove it. Changes should be evaluated according to their effect on the deliverable and their impact on project resources.</w:t>
      </w:r>
    </w:p>
    <w:p>
      <w:pPr>
        <w:pStyle w:val="Head3"/>
        <w:rPr/>
      </w:pPr>
      <w:bookmarkStart w:id="28" w:name="_Toc508398866"/>
      <w:r>
        <w:rPr/>
        <w:t>3.2.3 Approving or disapproving changes</w:t>
      </w:r>
      <w:bookmarkEnd w:id="28"/>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must be reached among stakeholders to either approve or disapprove a change request.</w:t>
      </w:r>
    </w:p>
    <w:p>
      <w:pPr>
        <w:pStyle w:val="Head3"/>
        <w:rPr/>
      </w:pPr>
      <w:bookmarkStart w:id="29" w:name="_Toc508398867"/>
      <w:r>
        <w:rPr/>
        <w:t>3.2.4 Implementing changes</w:t>
      </w:r>
      <w:bookmarkEnd w:id="29"/>
      <w:r>
        <w:rPr/>
        <w:t xml:space="preserve"> </w:t>
      </w:r>
    </w:p>
    <w:p>
      <w:pPr>
        <w:pStyle w:val="Normal"/>
        <w:ind w:left="216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pPr>
        <w:pStyle w:val="Head2"/>
        <w:rPr/>
      </w:pPr>
      <w:bookmarkStart w:id="30" w:name="_Toc508398868"/>
      <w:r>
        <w:rPr/>
        <w:t>3.3. Configuration status accounting</w:t>
      </w:r>
      <w:bookmarkEnd w:id="30"/>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statuses as tracked in GitHub include Open, Closed, and Merged. The information is publicly accessible on the internet.</w:t>
      </w:r>
    </w:p>
    <w:p>
      <w:pPr>
        <w:pStyle w:val="Head2"/>
        <w:rPr/>
      </w:pPr>
      <w:bookmarkStart w:id="31" w:name="_Toc508398869"/>
      <w:r>
        <w:rPr/>
        <w:t>3.4. Configuration evaluation and reviews</w:t>
      </w:r>
      <w:bookmarkEnd w:id="31"/>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documentation other than the CI documentation under review is needed to perform the review. No records of configuration audits will be maintained. In the event of a failed audit, a change must be implemented immediately by the development team to rectify the failure.</w:t>
      </w:r>
    </w:p>
    <w:p>
      <w:pPr>
        <w:pStyle w:val="Head2"/>
        <w:rPr/>
      </w:pPr>
      <w:bookmarkStart w:id="32" w:name="_Toc508398870"/>
      <w:r>
        <w:rPr/>
        <w:t>3.5 Interface control</w:t>
      </w:r>
      <w:bookmarkEnd w:id="32"/>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document shall later identify the external items (outside the scope of this plan) to which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interfaces, including hardware, system software, support software, and other projects. For each interface, the Plan shall define the nature of the interface, how the interface code, documentation, and data are to be controlled, and how the interface control documents are approved and released into a specified baseline.</w:t>
      </w:r>
    </w:p>
    <w:p>
      <w:pPr>
        <w:pStyle w:val="Head2"/>
        <w:rPr/>
      </w:pPr>
      <w:bookmarkStart w:id="33" w:name="_Toc508398871"/>
      <w:r>
        <w:rPr/>
        <w:t>3.6 Subcontractor/vendor control</w:t>
      </w:r>
      <w:bookmarkEnd w:id="33"/>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does not incorporate subcontracted software and hence requires no procedure to monitor subcontractors.</w:t>
      </w:r>
    </w:p>
    <w:p>
      <w:pPr>
        <w:pStyle w:val="Head2"/>
        <w:rPr/>
      </w:pPr>
      <w:bookmarkStart w:id="34" w:name="_Toc508398872"/>
      <w:r>
        <w:rPr/>
        <w:t>3.7. Release management and delivery</w:t>
      </w:r>
      <w:bookmarkEnd w:id="34"/>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Release management will be performed by the Scrum Master while finalizing each deliverable. Delivery of software is fixed by product deliverable requirements and includes submitting a compressed package of all relevant project work to Blackboard.</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35" w:name="_Toc508398873"/>
      <w:r>
        <w:rPr/>
        <w:t>4. SCM Schedules</w:t>
      </w:r>
      <w:bookmarkEnd w:id="35"/>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establishes the sequence and coordination for the identified SCM activities in section 3 and for all events affecting the implementation of this document. It will state the sequence and dependencies among all SCM activities and the relationship of key SCM activities to project milestones or events. The schedule shall cover the duration of this plan and contain all major milestones of the project related to SCM activities. Milestones shall include establishment of a configuration baseline, implementation of change control procedures, and the start and completion dates for a configuration audit. Schedule information shall be expressed as absolute dates, as dates relative to either SCM or project milestones, or as a simple sequence of events. Graphic representation can be particularly appropriate for conveying this information.</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yellow"/>
        </w:rPr>
        <w:t>This section will be completed at the start of deliverable 3 and will subsequently go into immediate effect.</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36" w:name="_Toc508398874"/>
      <w:r>
        <w:rPr/>
        <w:t>5. SCM Resources</w:t>
      </w:r>
      <w:bookmarkEnd w:id="36"/>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identifies the environment, infrastructure, software tools, techniques, equipment, personnel, and training necessary for the implementation of the specified SCM activities. </w:t>
      </w:r>
    </w:p>
    <w:p>
      <w:pPr>
        <w:pStyle w:val="Head2"/>
        <w:rPr/>
      </w:pPr>
      <w:bookmarkStart w:id="37" w:name="_Toc508398875"/>
      <w:r>
        <w:rPr/>
        <w:t>5.1 Environment, infrastructure, tools, techniques, equipment, personnel, and training</w:t>
      </w:r>
      <w:bookmarkEnd w:id="37"/>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Environment: Android Studio 3.0</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Version Control: Git</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Management Repository: GitHub</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Issue Tracking Repository: ZenHub, Sprint Backlog</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Build Management: Gradle</w:t>
      </w:r>
    </w:p>
    <w:p>
      <w:pPr>
        <w:pStyle w:val="Head3"/>
        <w:rPr/>
      </w:pPr>
      <w:bookmarkStart w:id="38" w:name="_Toc508398876"/>
      <w:r>
        <w:rPr/>
        <w:t>5.1.1 Configuration identification</w:t>
      </w:r>
      <w:bookmarkEnd w:id="38"/>
      <w:r>
        <w:rPr/>
        <w:t xml:space="preserve"> </w:t>
      </w:r>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later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39" w:name="_Toc508398877"/>
      <w:r>
        <w:rPr/>
        <w:t>5.1.2. Configuration control</w:t>
      </w:r>
      <w:bookmarkEnd w:id="39"/>
      <w:r>
        <w:rPr/>
        <w:t xml:space="preserve"> </w:t>
      </w:r>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0" w:name="_Toc508398878"/>
      <w:r>
        <w:rPr/>
        <w:t>5.1.3. Configuration status accounting</w:t>
      </w:r>
      <w:bookmarkEnd w:id="40"/>
      <w:r>
        <w:rPr/>
        <w:t xml:space="preserve"> </w:t>
      </w:r>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1" w:name="_Toc508398879"/>
      <w:r>
        <w:rPr/>
        <w:t>5.1.4. Configuration evaluation and reviews</w:t>
      </w:r>
      <w:bookmarkEnd w:id="41"/>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2" w:name="_Toc508398880"/>
      <w:r>
        <w:rPr/>
        <w:t>5.1.5 Interface Control</w:t>
      </w:r>
      <w:bookmarkEnd w:id="42"/>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3"/>
        <w:rPr/>
      </w:pPr>
      <w:bookmarkStart w:id="43" w:name="_Toc508398881"/>
      <w:r>
        <w:rPr/>
        <w:t>5.1.6 Subcontractor/vendor control</w:t>
      </w:r>
      <w:bookmarkEnd w:id="43"/>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rPr>
        <w:t>No tools, techniques, equipment, personnel, or training are required for this SCM activity, as this activity will not be performed.</w:t>
      </w:r>
    </w:p>
    <w:p>
      <w:pPr>
        <w:pStyle w:val="Head3"/>
        <w:rPr/>
      </w:pPr>
      <w:bookmarkStart w:id="44" w:name="_Toc508398882"/>
      <w:r>
        <w:rPr/>
        <w:t>5.1.7. Release Management and Delivery</w:t>
      </w:r>
      <w:bookmarkEnd w:id="4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highlight w:val="yellow"/>
        </w:rPr>
        <w:t>This section will, in deliverable 3, specify what tools, techniques, equipment, personnel, and training are required for this SCM activity and how each resource will be provided or obtained. Tools can be applied to library structure and access control; documentation development and tracking; code control; baseline system generation; change processing, communication and authorization; change/problem tracking and status reporting; archiving, retention, and retrieval of controlled items; or the SCM planning process itself. For each software tool, this document shall describe or reference its functions and shall identify the configuration controls to be placed on the tool.</w:t>
      </w:r>
    </w:p>
    <w:p>
      <w:pPr>
        <w:pStyle w:val="Head2"/>
        <w:rPr/>
      </w:pPr>
      <w:bookmarkStart w:id="45" w:name="_Toc508398883"/>
      <w:r>
        <w:rPr/>
        <w:t>5.2 Key factors for infrastructure:</w:t>
      </w:r>
      <w:bookmarkEnd w:id="45"/>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 </w:t>
      </w:r>
      <w:r>
        <w:rPr>
          <w:rFonts w:eastAsia="Times New Roman" w:cs="Times New Roman" w:ascii="Times New Roman" w:hAnsi="Times New Roman"/>
          <w:color w:val="000000" w:themeColor="text1"/>
          <w:highlight w:val="yellow"/>
        </w:rPr>
        <w:t>The extent to which the infrastructure is under configuration management shall be completely defined here in deliverable 3.</w:t>
      </w:r>
    </w:p>
    <w:p>
      <w:pPr>
        <w:pStyle w:val="Normal"/>
        <w:ind w:left="144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 xml:space="preserve">Time Constraint: All implementation and documentation must be completed by the end of the Spring 2018 semester. </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bookmarkStart w:id="46" w:name="_Toc508398884"/>
      <w:r>
        <w:rPr/>
        <w:t>6. SCM Plan Maintenance</w:t>
      </w:r>
      <w:bookmarkEnd w:id="46"/>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pPr>
        <w:pStyle w:val="Normal"/>
        <w:spacing w:before="0" w:after="160"/>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FreeMono">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2">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3">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7"/>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b4b89"/>
    <w:rPr>
      <w:color w:val="0000FF" w:themeColor="hyperlink"/>
      <w:u w:val="single"/>
    </w:rPr>
  </w:style>
  <w:style w:type="character" w:styleId="BalloonTextChar" w:customStyle="1">
    <w:name w:val="Balloon Text Char"/>
    <w:basedOn w:val="DefaultParagraphFont"/>
    <w:link w:val="BalloonText"/>
    <w:uiPriority w:val="99"/>
    <w:semiHidden/>
    <w:qFormat/>
    <w:rsid w:val="00e1068e"/>
    <w:rPr>
      <w:rFonts w:ascii="Times New Roman" w:hAnsi="Times New Roman" w:cs="Times New Roman"/>
      <w:sz w:val="18"/>
      <w:szCs w:val="18"/>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000000" w:themeColor="text1"/>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Heading">
    <w:name w:val="TOC Heading"/>
    <w:basedOn w:val="Heading1"/>
    <w:next w:val="Normal"/>
    <w:uiPriority w:val="39"/>
    <w:unhideWhenUsed/>
    <w:qFormat/>
    <w:rsid w:val="009557d5"/>
    <w:pPr>
      <w:pBdr/>
      <w:spacing w:lineRule="auto" w:line="276" w:before="480" w:after="0"/>
    </w:pPr>
    <w:rPr>
      <w:rFonts w:ascii="Calibri" w:hAnsi="Calibri" w:eastAsia="" w:cs="" w:asciiTheme="majorHAnsi" w:cstheme="majorBidi" w:eastAsiaTheme="majorEastAsia" w:hAnsiTheme="majorHAnsi"/>
      <w:bCs/>
      <w:color w:val="365F91" w:themeColor="accent1" w:themeShade="bf"/>
      <w:sz w:val="28"/>
      <w:szCs w:val="28"/>
    </w:rPr>
  </w:style>
  <w:style w:type="paragraph" w:styleId="Head1" w:customStyle="1">
    <w:name w:val="Head 1"/>
    <w:basedOn w:val="Normal"/>
    <w:qFormat/>
    <w:rsid w:val="009557d5"/>
    <w:pPr/>
    <w:rPr>
      <w:rFonts w:ascii="Times New Roman" w:hAnsi="Times New Roman" w:eastAsia="Times New Roman" w:cs="Times New Roman"/>
      <w:b/>
      <w:color w:val="000000" w:themeColor="text1"/>
    </w:rPr>
  </w:style>
  <w:style w:type="paragraph" w:styleId="Head2" w:customStyle="1">
    <w:name w:val="Head 2"/>
    <w:basedOn w:val="Normal"/>
    <w:qFormat/>
    <w:rsid w:val="009557d5"/>
    <w:pPr>
      <w:ind w:left="720" w:hanging="0"/>
    </w:pPr>
    <w:rPr>
      <w:rFonts w:ascii="Times New Roman" w:hAnsi="Times New Roman" w:eastAsia="Times New Roman" w:cs="Times New Roman"/>
      <w:color w:val="000000" w:themeColor="text1"/>
      <w:u w:val="single"/>
    </w:rPr>
  </w:style>
  <w:style w:type="paragraph" w:styleId="Head3" w:customStyle="1">
    <w:name w:val="Head 3"/>
    <w:basedOn w:val="Normal"/>
    <w:qFormat/>
    <w:rsid w:val="009557d5"/>
    <w:pPr>
      <w:ind w:left="1440" w:hanging="0"/>
    </w:pPr>
    <w:rPr>
      <w:rFonts w:ascii="Times New Roman" w:hAnsi="Times New Roman" w:eastAsia="Times New Roman" w:cs="Times New Roman"/>
      <w:i/>
      <w:color w:val="000000" w:themeColor="text1"/>
    </w:rPr>
  </w:style>
  <w:style w:type="paragraph" w:styleId="Contents2">
    <w:name w:val="TOC 2"/>
    <w:basedOn w:val="Normal"/>
    <w:next w:val="Normal"/>
    <w:autoRedefine/>
    <w:uiPriority w:val="39"/>
    <w:unhideWhenUsed/>
    <w:rsid w:val="006b4b89"/>
    <w:pPr>
      <w:spacing w:before="0" w:after="100"/>
      <w:ind w:left="220" w:hanging="0"/>
    </w:pPr>
    <w:rPr/>
  </w:style>
  <w:style w:type="paragraph" w:styleId="Contents1">
    <w:name w:val="TOC 1"/>
    <w:basedOn w:val="Normal"/>
    <w:next w:val="Normal"/>
    <w:autoRedefine/>
    <w:uiPriority w:val="39"/>
    <w:unhideWhenUsed/>
    <w:rsid w:val="006b4b89"/>
    <w:pPr>
      <w:spacing w:before="0" w:after="100"/>
    </w:pPr>
    <w:rPr/>
  </w:style>
  <w:style w:type="paragraph" w:styleId="Contents3">
    <w:name w:val="TOC 3"/>
    <w:basedOn w:val="Normal"/>
    <w:next w:val="Normal"/>
    <w:autoRedefine/>
    <w:uiPriority w:val="39"/>
    <w:unhideWhenUsed/>
    <w:rsid w:val="006b4b89"/>
    <w:pPr>
      <w:spacing w:before="0" w:after="100"/>
      <w:ind w:left="440" w:hanging="0"/>
    </w:pPr>
    <w:rPr/>
  </w:style>
  <w:style w:type="paragraph" w:styleId="BalloonText">
    <w:name w:val="Balloon Text"/>
    <w:basedOn w:val="Normal"/>
    <w:link w:val="BalloonTextChar"/>
    <w:uiPriority w:val="99"/>
    <w:semiHidden/>
    <w:unhideWhenUsed/>
    <w:qFormat/>
    <w:rsid w:val="00e1068e"/>
    <w:pPr>
      <w:spacing w:lineRule="auto" w:line="240" w:before="0" w:after="0"/>
    </w:pPr>
    <w:rPr>
      <w:rFonts w:ascii="Times New Roman" w:hAnsi="Times New Roman" w:cs="Times New Roman"/>
      <w:sz w:val="18"/>
      <w:szCs w:val="18"/>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aluminiumi/RaiderNA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9DBB-9712-C44D-9055-7878E75D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LibreOffice/6.0.2.1$Linux_X86_64 LibreOffice_project/00m0$Build-1</Application>
  <Pages>18</Pages>
  <Words>3717</Words>
  <Characters>21732</Characters>
  <CharactersWithSpaces>25158</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2018-03-10T04:54:00Z</dcterms:created>
  <dc:creator/>
  <dc:description/>
  <dc:language>en-US</dc:language>
  <cp:lastModifiedBy/>
  <cp:lastPrinted>2018-03-10T04:54:00Z</cp:lastPrinted>
  <dcterms:modified xsi:type="dcterms:W3CDTF">2018-04-01T16:10:23Z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