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t>Software Configuration Management Plan</w:t>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48"/>
          <w:szCs w:val="48"/>
        </w:rPr>
        <w:t>for</w:t>
      </w:r>
      <w:r>
        <w:rPr>
          <w:rFonts w:eastAsia="Times New Roman" w:cs="Times New Roman" w:ascii="Times New Roman" w:hAnsi="Times New Roman"/>
          <w:b/>
          <w:color w:val="000000" w:themeColor="text1"/>
          <w:sz w:val="72"/>
          <w:szCs w:val="72"/>
        </w:rPr>
        <w:t xml:space="preserve"> RaiderNAV</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Team Getana</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 xml:space="preserve">Version </w:t>
      </w:r>
      <w:r>
        <w:rPr>
          <w:rFonts w:eastAsia="Times New Roman" w:cs="Times New Roman" w:ascii="Times New Roman" w:hAnsi="Times New Roman"/>
          <w:b/>
          <w:color w:val="000000" w:themeColor="text1"/>
          <w:sz w:val="36"/>
          <w:szCs w:val="36"/>
        </w:rPr>
        <w:t>4</w:t>
      </w:r>
      <w:r>
        <w:rPr>
          <w:rFonts w:eastAsia="Times New Roman" w:cs="Times New Roman" w:ascii="Times New Roman" w:hAnsi="Times New Roman"/>
          <w:b/>
          <w:color w:val="000000" w:themeColor="text1"/>
          <w:sz w:val="36"/>
          <w:szCs w:val="36"/>
        </w:rPr>
        <w:t>.</w:t>
      </w:r>
      <w:r>
        <w:rPr>
          <w:rFonts w:eastAsia="Times New Roman" w:cs="Times New Roman" w:ascii="Times New Roman" w:hAnsi="Times New Roman"/>
          <w:b/>
          <w:color w:val="000000" w:themeColor="text1"/>
          <w:sz w:val="36"/>
          <w:szCs w:val="36"/>
        </w:rPr>
        <w:t>0</w:t>
      </w:r>
    </w:p>
    <w:p>
      <w:pPr>
        <w:pStyle w:val="Normal"/>
        <w:jc w:val="center"/>
        <w:rPr/>
      </w:pPr>
      <w:r>
        <w:rPr>
          <w:rFonts w:eastAsia="Times New Roman" w:cs="Times New Roman" w:ascii="Times New Roman" w:hAnsi="Times New Roman"/>
          <w:b/>
          <w:color w:val="000000" w:themeColor="text1"/>
          <w:sz w:val="36"/>
          <w:szCs w:val="36"/>
        </w:rPr>
        <w:t>(</w:t>
      </w:r>
      <w:bookmarkStart w:id="0" w:name="_GoBack"/>
      <w:bookmarkEnd w:id="0"/>
      <w:r>
        <w:rPr>
          <w:rFonts w:eastAsia="Times New Roman" w:cs="Times New Roman" w:ascii="Times New Roman" w:hAnsi="Times New Roman"/>
          <w:b/>
          <w:color w:val="000000" w:themeColor="text1"/>
          <w:sz w:val="36"/>
          <w:szCs w:val="36"/>
        </w:rPr>
        <w:t>17</w:t>
      </w:r>
      <w:r>
        <w:rPr>
          <w:rFonts w:eastAsia="Times New Roman" w:cs="Times New Roman" w:ascii="Times New Roman" w:hAnsi="Times New Roman"/>
          <w:b/>
          <w:color w:val="000000" w:themeColor="text1"/>
          <w:sz w:val="36"/>
          <w:szCs w:val="36"/>
        </w:rPr>
        <w:t xml:space="preserve"> April 2018)</w:t>
      </w:r>
      <w:r>
        <w:br w:type="page"/>
      </w:r>
    </w:p>
    <w:p>
      <w:pPr>
        <w:pStyle w:val="Normal"/>
        <w:rPr/>
      </w:pPr>
      <w:r>
        <w:rPr>
          <w:rFonts w:eastAsia="Times New Roman" w:cs="Times New Roman" w:ascii="Times New Roman" w:hAnsi="Times New Roman"/>
          <w:b/>
          <w:color w:val="000000" w:themeColor="text1"/>
        </w:rPr>
        <w:t>Revision History</w:t>
      </w:r>
    </w:p>
    <w:tbl>
      <w:tblPr>
        <w:tblW w:w="9360" w:type="dxa"/>
        <w:jc w:val="left"/>
        <w:tblInd w:w="55" w:type="dxa"/>
        <w:tblBorders/>
        <w:tblCellMar>
          <w:top w:w="55" w:type="dxa"/>
          <w:left w:w="55" w:type="dxa"/>
          <w:bottom w:w="55" w:type="dxa"/>
          <w:right w:w="55" w:type="dxa"/>
        </w:tblCellMar>
        <w:tblLook w:val="04a0" w:noVBand="1" w:noHBand="0" w:lastColumn="0" w:firstColumn="1" w:lastRow="0" w:firstRow="1"/>
      </w:tblPr>
      <w:tblGrid>
        <w:gridCol w:w="1073"/>
        <w:gridCol w:w="1813"/>
        <w:gridCol w:w="6474"/>
      </w:tblGrid>
      <w:tr>
        <w:trPr/>
        <w:tc>
          <w:tcPr>
            <w:tcW w:w="1073" w:type="dxa"/>
            <w:tcBorders/>
            <w:shd w:fill="auto" w:val="clear"/>
          </w:tcPr>
          <w:p>
            <w:pPr>
              <w:pStyle w:val="TableContents"/>
              <w:rPr/>
            </w:pPr>
            <w:r>
              <w:rPr>
                <w:rFonts w:eastAsia="Times New Roman" w:cs="Times New Roman" w:ascii="Liberation Serif" w:hAnsi="Liberation Serif"/>
                <w:sz w:val="24"/>
                <w:szCs w:val="24"/>
                <w:u w:val="single"/>
              </w:rPr>
              <w:t>Version</w:t>
            </w:r>
          </w:p>
          <w:p>
            <w:pPr>
              <w:pStyle w:val="TableContents"/>
              <w:spacing w:before="0" w:after="160"/>
              <w:rPr/>
            </w:pPr>
            <w:r>
              <w:rPr>
                <w:rFonts w:eastAsia="Times New Roman" w:cs="Times New Roman" w:ascii="Liberation Serif" w:hAnsi="Liberation Serif"/>
                <w:sz w:val="24"/>
                <w:szCs w:val="24"/>
              </w:rPr>
              <w:t>4.0</w:t>
            </w:r>
          </w:p>
        </w:tc>
        <w:tc>
          <w:tcPr>
            <w:tcW w:w="1813" w:type="dxa"/>
            <w:tcBorders/>
            <w:shd w:fill="auto" w:val="clear"/>
          </w:tcPr>
          <w:p>
            <w:pPr>
              <w:pStyle w:val="TableContents"/>
              <w:rPr/>
            </w:pPr>
            <w:r>
              <w:rPr>
                <w:rFonts w:eastAsia="Times New Roman" w:cs="Times New Roman" w:ascii="Liberation Serif" w:hAnsi="Liberation Serif"/>
                <w:sz w:val="24"/>
                <w:szCs w:val="24"/>
                <w:u w:val="single"/>
              </w:rPr>
              <w:t>Date</w:t>
            </w:r>
          </w:p>
          <w:p>
            <w:pPr>
              <w:pStyle w:val="TableContents"/>
              <w:suppressLineNumbers/>
              <w:spacing w:before="0" w:after="160"/>
              <w:rPr/>
            </w:pPr>
            <w:r>
              <w:rPr>
                <w:rFonts w:eastAsia="Times New Roman" w:cs="Times New Roman" w:ascii="Liberation Serif" w:hAnsi="Liberation Serif"/>
                <w:sz w:val="24"/>
                <w:szCs w:val="24"/>
              </w:rPr>
              <w:t>17 April 2018</w:t>
            </w:r>
          </w:p>
        </w:tc>
        <w:tc>
          <w:tcPr>
            <w:tcW w:w="6474" w:type="dxa"/>
            <w:tcBorders/>
            <w:shd w:fill="auto" w:val="clear"/>
          </w:tcPr>
          <w:p>
            <w:pPr>
              <w:pStyle w:val="TableContents"/>
              <w:rPr/>
            </w:pPr>
            <w:r>
              <w:rPr>
                <w:rFonts w:eastAsia="Times New Roman" w:cs="Times New Roman" w:ascii="Liberation Serif" w:hAnsi="Liberation Serif"/>
                <w:sz w:val="24"/>
                <w:szCs w:val="24"/>
                <w:u w:val="single"/>
              </w:rPr>
              <w:t>Summary</w:t>
            </w:r>
          </w:p>
          <w:p>
            <w:pPr>
              <w:pStyle w:val="TableContents"/>
              <w:spacing w:before="0" w:after="160"/>
              <w:rPr/>
            </w:pPr>
            <w:r>
              <w:rPr>
                <w:rFonts w:eastAsia="Times New Roman" w:cs="Times New Roman" w:ascii="Liberation Serif" w:hAnsi="Liberation Serif"/>
                <w:sz w:val="24"/>
                <w:szCs w:val="24"/>
              </w:rPr>
              <w:t>Updated for deliverable 4</w:t>
            </w:r>
          </w:p>
        </w:tc>
      </w:tr>
      <w:tr>
        <w:trPr/>
        <w:tc>
          <w:tcPr>
            <w:tcW w:w="1073" w:type="dxa"/>
            <w:tcBorders/>
            <w:shd w:fill="auto" w:val="clear"/>
          </w:tcPr>
          <w:p>
            <w:pPr>
              <w:pStyle w:val="TableContents"/>
              <w:spacing w:before="0" w:after="160"/>
              <w:rPr/>
            </w:pPr>
            <w:r>
              <w:rPr>
                <w:rFonts w:eastAsia="Times New Roman" w:cs="Times New Roman" w:ascii="Liberation Serif" w:hAnsi="Liberation Serif"/>
                <w:sz w:val="24"/>
                <w:szCs w:val="24"/>
              </w:rPr>
              <w:t>3.1</w:t>
            </w:r>
          </w:p>
        </w:tc>
        <w:tc>
          <w:tcPr>
            <w:tcW w:w="1813" w:type="dxa"/>
            <w:tcBorders/>
            <w:shd w:fill="auto" w:val="clear"/>
          </w:tcPr>
          <w:p>
            <w:pPr>
              <w:pStyle w:val="TableContents"/>
              <w:spacing w:before="0" w:after="160"/>
              <w:rPr/>
            </w:pPr>
            <w:r>
              <w:rPr>
                <w:rFonts w:eastAsia="Times New Roman" w:cs="Times New Roman" w:ascii="Liberation Serif" w:hAnsi="Liberation Serif"/>
                <w:sz w:val="24"/>
                <w:szCs w:val="24"/>
              </w:rPr>
              <w:t>6 April 2018</w:t>
            </w:r>
          </w:p>
        </w:tc>
        <w:tc>
          <w:tcPr>
            <w:tcW w:w="6474" w:type="dxa"/>
            <w:tcBorders/>
            <w:shd w:fill="auto" w:val="clear"/>
          </w:tcPr>
          <w:p>
            <w:pPr>
              <w:pStyle w:val="TableContents"/>
              <w:spacing w:before="0" w:after="160"/>
              <w:rPr/>
            </w:pPr>
            <w:r>
              <w:rPr>
                <w:rFonts w:eastAsia="Times New Roman" w:cs="Times New Roman" w:ascii="Liberation Serif" w:hAnsi="Liberation Serif"/>
                <w:sz w:val="24"/>
                <w:szCs w:val="24"/>
              </w:rPr>
              <w:t>Updated table of contents.</w:t>
            </w:r>
          </w:p>
        </w:tc>
      </w:tr>
      <w:tr>
        <w:trPr/>
        <w:tc>
          <w:tcPr>
            <w:tcW w:w="107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3.0</w:t>
            </w:r>
          </w:p>
        </w:tc>
        <w:tc>
          <w:tcPr>
            <w:tcW w:w="181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1 April 2018</w:t>
            </w:r>
          </w:p>
        </w:tc>
        <w:tc>
          <w:tcPr>
            <w:tcW w:w="6474"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Sections 1.2.4, 2.2, and 3.1.3 updated to reflect missing information. Sections 4 and 5 completed. Minor wording changes throughout.</w:t>
            </w:r>
          </w:p>
        </w:tc>
      </w:tr>
      <w:tr>
        <w:trPr/>
        <w:tc>
          <w:tcPr>
            <w:tcW w:w="107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2.0</w:t>
            </w:r>
          </w:p>
        </w:tc>
        <w:tc>
          <w:tcPr>
            <w:tcW w:w="181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9 March 2018</w:t>
            </w:r>
          </w:p>
        </w:tc>
        <w:tc>
          <w:tcPr>
            <w:tcW w:w="6474"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Initial document</w:t>
            </w:r>
          </w:p>
        </w:tc>
      </w:tr>
    </w:tbl>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1" w:name="__RefHeading___Toc1122_2234708029"/>
      <w:bookmarkStart w:id="2" w:name="_Toc510790884"/>
      <w:bookmarkEnd w:id="1"/>
      <w:r>
        <w:rPr/>
        <w:t>Table of Contents</w:t>
      </w:r>
      <w:bookmarkEnd w:id="2"/>
    </w:p>
    <w:p>
      <w:pPr>
        <w:pStyle w:val="Contents1"/>
        <w:tabs>
          <w:tab w:val="right" w:pos="9360" w:leader="dot"/>
        </w:tabs>
        <w:rPr/>
      </w:pPr>
      <w:r>
        <w:fldChar w:fldCharType="begin"/>
      </w:r>
      <w:r>
        <w:rPr>
          <w:webHidden/>
          <w:rStyle w:val="IndexLink"/>
          <w:vanish w:val="false"/>
        </w:rPr>
        <w:instrText> TOC \z \o "1-4" \t "Head 1,1,Head 2,2,Head 3,3,Head 4,4" \h</w:instrText>
      </w:r>
      <w:r>
        <w:rPr>
          <w:webHidden/>
          <w:rStyle w:val="IndexLink"/>
          <w:vanish w:val="false"/>
        </w:rPr>
        <w:fldChar w:fldCharType="separate"/>
      </w:r>
      <w:hyperlink w:anchor="__RefHeading___Toc1122_2234708029">
        <w:r>
          <w:rPr>
            <w:webHidden/>
            <w:rStyle w:val="IndexLink"/>
            <w:vanish w:val="false"/>
          </w:rPr>
          <w:t>Table of Contents</w:t>
          <w:tab/>
          <w:t>3</w:t>
        </w:r>
      </w:hyperlink>
    </w:p>
    <w:p>
      <w:pPr>
        <w:pStyle w:val="Contents1"/>
        <w:tabs>
          <w:tab w:val="right" w:pos="9360" w:leader="dot"/>
        </w:tabs>
        <w:rPr/>
      </w:pPr>
      <w:hyperlink w:anchor="__RefHeading___Toc1124_2234708029">
        <w:r>
          <w:rPr>
            <w:webHidden/>
            <w:rStyle w:val="IndexLink"/>
            <w:vanish w:val="false"/>
          </w:rPr>
          <w:t>1. Introduction</w:t>
          <w:tab/>
          <w:t>4</w:t>
        </w:r>
      </w:hyperlink>
    </w:p>
    <w:p>
      <w:pPr>
        <w:pStyle w:val="Contents2"/>
        <w:tabs>
          <w:tab w:val="right" w:pos="9360" w:leader="dot"/>
        </w:tabs>
        <w:rPr/>
      </w:pPr>
      <w:hyperlink w:anchor="__RefHeading___Toc1126_2234708029">
        <w:r>
          <w:rPr>
            <w:webHidden/>
            <w:rStyle w:val="IndexLink"/>
            <w:vanish w:val="false"/>
          </w:rPr>
          <w:t>1.1 Purpose</w:t>
          <w:tab/>
          <w:t>4</w:t>
        </w:r>
      </w:hyperlink>
    </w:p>
    <w:p>
      <w:pPr>
        <w:pStyle w:val="Contents2"/>
        <w:tabs>
          <w:tab w:val="right" w:pos="9360" w:leader="dot"/>
        </w:tabs>
        <w:rPr/>
      </w:pPr>
      <w:hyperlink w:anchor="__RefHeading___Toc1128_2234708029">
        <w:r>
          <w:rPr>
            <w:webHidden/>
            <w:rStyle w:val="IndexLink"/>
            <w:vanish w:val="false"/>
          </w:rPr>
          <w:t>1.2 Scope</w:t>
          <w:tab/>
          <w:t>5</w:t>
        </w:r>
      </w:hyperlink>
    </w:p>
    <w:p>
      <w:pPr>
        <w:pStyle w:val="Contents3"/>
        <w:tabs>
          <w:tab w:val="right" w:pos="9360" w:leader="dot"/>
        </w:tabs>
        <w:rPr/>
      </w:pPr>
      <w:hyperlink w:anchor="__RefHeading___Toc1130_2234708029">
        <w:r>
          <w:rPr>
            <w:webHidden/>
            <w:rStyle w:val="IndexLink"/>
            <w:vanish w:val="false"/>
          </w:rPr>
          <w:t>1.2.1 Overview description of the software project.</w:t>
          <w:tab/>
          <w:t>5</w:t>
        </w:r>
      </w:hyperlink>
    </w:p>
    <w:p>
      <w:pPr>
        <w:pStyle w:val="Contents3"/>
        <w:tabs>
          <w:tab w:val="right" w:pos="9360" w:leader="dot"/>
        </w:tabs>
        <w:rPr/>
      </w:pPr>
      <w:hyperlink w:anchor="__RefHeading___Toc1132_2234708029">
        <w:r>
          <w:rPr>
            <w:webHidden/>
            <w:rStyle w:val="IndexLink"/>
            <w:vanish w:val="false"/>
          </w:rPr>
          <w:t>1.2.2 Applicability</w:t>
          <w:tab/>
          <w:t>5</w:t>
        </w:r>
      </w:hyperlink>
    </w:p>
    <w:p>
      <w:pPr>
        <w:pStyle w:val="Contents3"/>
        <w:tabs>
          <w:tab w:val="right" w:pos="9360" w:leader="dot"/>
        </w:tabs>
        <w:rPr/>
      </w:pPr>
      <w:hyperlink w:anchor="__RefHeading___Toc1134_2234708029">
        <w:r>
          <w:rPr>
            <w:webHidden/>
            <w:rStyle w:val="IndexLink"/>
            <w:vanish w:val="false"/>
          </w:rPr>
          <w:t>1.2.3 Identification of other software to be included as part of the plan</w:t>
          <w:tab/>
          <w:t>5</w:t>
        </w:r>
      </w:hyperlink>
    </w:p>
    <w:p>
      <w:pPr>
        <w:pStyle w:val="Contents3"/>
        <w:tabs>
          <w:tab w:val="right" w:pos="9360" w:leader="dot"/>
        </w:tabs>
        <w:rPr/>
      </w:pPr>
      <w:hyperlink w:anchor="__RefHeading___Toc1136_2234708029">
        <w:r>
          <w:rPr>
            <w:webHidden/>
            <w:rStyle w:val="IndexLink"/>
            <w:vanish w:val="false"/>
          </w:rPr>
          <w:t>1.2.4 Relationship of SCM to the hardware or SCM activities for the project</w:t>
          <w:tab/>
          <w:t>5</w:t>
        </w:r>
      </w:hyperlink>
    </w:p>
    <w:p>
      <w:pPr>
        <w:pStyle w:val="Contents3"/>
        <w:tabs>
          <w:tab w:val="right" w:pos="9360" w:leader="dot"/>
        </w:tabs>
        <w:rPr/>
      </w:pPr>
      <w:hyperlink w:anchor="__RefHeading___Toc1138_2234708029">
        <w:r>
          <w:rPr>
            <w:webHidden/>
            <w:rStyle w:val="IndexLink"/>
            <w:vanish w:val="false"/>
          </w:rPr>
          <w:t>1.2.5 The degree of formality, depth of control, and portion of the software life cycle for applying SCM on this project</w:t>
          <w:tab/>
          <w:t>5</w:t>
        </w:r>
      </w:hyperlink>
    </w:p>
    <w:p>
      <w:pPr>
        <w:pStyle w:val="Contents3"/>
        <w:tabs>
          <w:tab w:val="right" w:pos="9360" w:leader="dot"/>
        </w:tabs>
        <w:rPr/>
      </w:pPr>
      <w:hyperlink w:anchor="__RefHeading___Toc1140_2234708029">
        <w:r>
          <w:rPr>
            <w:webHidden/>
            <w:rStyle w:val="IndexLink"/>
            <w:vanish w:val="false"/>
          </w:rPr>
          <w:t>1.2.6 Limitations</w:t>
          <w:tab/>
          <w:t>6</w:t>
        </w:r>
      </w:hyperlink>
    </w:p>
    <w:p>
      <w:pPr>
        <w:pStyle w:val="Contents3"/>
        <w:tabs>
          <w:tab w:val="right" w:pos="9360" w:leader="dot"/>
        </w:tabs>
        <w:rPr/>
      </w:pPr>
      <w:hyperlink w:anchor="__RefHeading___Toc1142_2234708029">
        <w:r>
          <w:rPr>
            <w:webHidden/>
            <w:rStyle w:val="IndexLink"/>
            <w:vanish w:val="false"/>
          </w:rPr>
          <w:t>1.2.7 Assumptions that might have an impact on the cost, schedule, or ability to perform defined SCM activities</w:t>
          <w:tab/>
          <w:t>6</w:t>
        </w:r>
      </w:hyperlink>
    </w:p>
    <w:p>
      <w:pPr>
        <w:pStyle w:val="Contents2"/>
        <w:tabs>
          <w:tab w:val="right" w:pos="9360" w:leader="dot"/>
        </w:tabs>
        <w:rPr/>
      </w:pPr>
      <w:hyperlink w:anchor="__RefHeading___Toc1144_2234708029">
        <w:r>
          <w:rPr>
            <w:webHidden/>
            <w:rStyle w:val="IndexLink"/>
            <w:vanish w:val="false"/>
          </w:rPr>
          <w:t>1.3 Key Terms</w:t>
          <w:tab/>
          <w:t>6</w:t>
        </w:r>
      </w:hyperlink>
    </w:p>
    <w:p>
      <w:pPr>
        <w:pStyle w:val="Contents2"/>
        <w:tabs>
          <w:tab w:val="right" w:pos="9360" w:leader="dot"/>
        </w:tabs>
        <w:rPr/>
      </w:pPr>
      <w:hyperlink w:anchor="__RefHeading___Toc1146_2234708029">
        <w:r>
          <w:rPr>
            <w:webHidden/>
            <w:rStyle w:val="IndexLink"/>
            <w:vanish w:val="false"/>
          </w:rPr>
          <w:t>1.4 References</w:t>
          <w:tab/>
          <w:t>6</w:t>
        </w:r>
      </w:hyperlink>
    </w:p>
    <w:p>
      <w:pPr>
        <w:pStyle w:val="Contents1"/>
        <w:tabs>
          <w:tab w:val="right" w:pos="9360" w:leader="dot"/>
        </w:tabs>
        <w:rPr/>
      </w:pPr>
      <w:hyperlink w:anchor="__RefHeading___Toc1148_2234708029">
        <w:r>
          <w:rPr>
            <w:webHidden/>
            <w:rStyle w:val="IndexLink"/>
            <w:vanish w:val="false"/>
          </w:rPr>
          <w:t>2. SCM Management</w:t>
          <w:tab/>
          <w:t>7</w:t>
        </w:r>
      </w:hyperlink>
    </w:p>
    <w:p>
      <w:pPr>
        <w:pStyle w:val="Contents2"/>
        <w:tabs>
          <w:tab w:val="right" w:pos="9360" w:leader="dot"/>
        </w:tabs>
        <w:rPr/>
      </w:pPr>
      <w:hyperlink w:anchor="__RefHeading___Toc1150_2234708029">
        <w:r>
          <w:rPr>
            <w:webHidden/>
            <w:rStyle w:val="IndexLink"/>
            <w:vanish w:val="false"/>
          </w:rPr>
          <w:t>2.1 Organization</w:t>
          <w:tab/>
          <w:t>7</w:t>
        </w:r>
      </w:hyperlink>
    </w:p>
    <w:p>
      <w:pPr>
        <w:pStyle w:val="Contents2"/>
        <w:tabs>
          <w:tab w:val="right" w:pos="9360" w:leader="dot"/>
        </w:tabs>
        <w:rPr/>
      </w:pPr>
      <w:hyperlink w:anchor="__RefHeading___Toc1152_2234708029">
        <w:r>
          <w:rPr>
            <w:webHidden/>
            <w:rStyle w:val="IndexLink"/>
            <w:vanish w:val="false"/>
          </w:rPr>
          <w:t>2.2. Responsibilities</w:t>
          <w:tab/>
          <w:t>7</w:t>
        </w:r>
      </w:hyperlink>
    </w:p>
    <w:p>
      <w:pPr>
        <w:pStyle w:val="Contents2"/>
        <w:tabs>
          <w:tab w:val="right" w:pos="9360" w:leader="dot"/>
        </w:tabs>
        <w:rPr/>
      </w:pPr>
      <w:hyperlink w:anchor="__RefHeading___Toc1154_2234708029">
        <w:r>
          <w:rPr>
            <w:webHidden/>
            <w:rStyle w:val="IndexLink"/>
            <w:vanish w:val="false"/>
          </w:rPr>
          <w:t>2.3. Applicable policies, directives, and procedures</w:t>
          <w:tab/>
          <w:t>10</w:t>
        </w:r>
      </w:hyperlink>
    </w:p>
    <w:p>
      <w:pPr>
        <w:pStyle w:val="Contents2"/>
        <w:tabs>
          <w:tab w:val="right" w:pos="9360" w:leader="dot"/>
        </w:tabs>
        <w:rPr/>
      </w:pPr>
      <w:hyperlink w:anchor="__RefHeading___Toc1156_2234708029">
        <w:r>
          <w:rPr>
            <w:webHidden/>
            <w:rStyle w:val="IndexLink"/>
            <w:vanish w:val="false"/>
          </w:rPr>
          <w:t>2.4 Management of the SCM process</w:t>
          <w:tab/>
          <w:t>10</w:t>
        </w:r>
      </w:hyperlink>
    </w:p>
    <w:p>
      <w:pPr>
        <w:pStyle w:val="Contents1"/>
        <w:tabs>
          <w:tab w:val="right" w:pos="9360" w:leader="dot"/>
        </w:tabs>
        <w:rPr/>
      </w:pPr>
      <w:hyperlink w:anchor="__RefHeading___Toc1158_2234708029">
        <w:r>
          <w:rPr>
            <w:webHidden/>
            <w:rStyle w:val="IndexLink"/>
            <w:vanish w:val="false"/>
          </w:rPr>
          <w:t>3. SCM Activities</w:t>
          <w:tab/>
          <w:t>11</w:t>
        </w:r>
      </w:hyperlink>
    </w:p>
    <w:p>
      <w:pPr>
        <w:pStyle w:val="Contents2"/>
        <w:tabs>
          <w:tab w:val="right" w:pos="9360" w:leader="dot"/>
        </w:tabs>
        <w:rPr/>
      </w:pPr>
      <w:hyperlink w:anchor="__RefHeading___Toc1160_2234708029">
        <w:r>
          <w:rPr>
            <w:webHidden/>
            <w:rStyle w:val="IndexLink"/>
            <w:vanish w:val="false"/>
          </w:rPr>
          <w:t>3.1 Configuration identification</w:t>
          <w:tab/>
          <w:t>11</w:t>
        </w:r>
      </w:hyperlink>
    </w:p>
    <w:p>
      <w:pPr>
        <w:pStyle w:val="Contents3"/>
        <w:tabs>
          <w:tab w:val="right" w:pos="9360" w:leader="dot"/>
        </w:tabs>
        <w:rPr/>
      </w:pPr>
      <w:hyperlink w:anchor="__RefHeading___Toc1162_2234708029">
        <w:r>
          <w:rPr>
            <w:webHidden/>
            <w:rStyle w:val="IndexLink"/>
            <w:vanish w:val="false"/>
          </w:rPr>
          <w:t>3.1.1 Identify configuration items (events, items, procedures)</w:t>
          <w:tab/>
          <w:t>11</w:t>
        </w:r>
      </w:hyperlink>
    </w:p>
    <w:p>
      <w:pPr>
        <w:pStyle w:val="Contents3"/>
        <w:tabs>
          <w:tab w:val="right" w:pos="9360" w:leader="dot"/>
        </w:tabs>
        <w:rPr/>
      </w:pPr>
      <w:hyperlink w:anchor="__RefHeading___Toc1164_2234708029">
        <w:r>
          <w:rPr>
            <w:webHidden/>
            <w:rStyle w:val="IndexLink"/>
            <w:vanish w:val="false"/>
          </w:rPr>
          <w:t>3.1.2 Name configuration items (unique identifiers)</w:t>
          <w:tab/>
          <w:t>12</w:t>
        </w:r>
      </w:hyperlink>
    </w:p>
    <w:p>
      <w:pPr>
        <w:pStyle w:val="Contents3"/>
        <w:tabs>
          <w:tab w:val="right" w:pos="9360" w:leader="dot"/>
        </w:tabs>
        <w:rPr/>
      </w:pPr>
      <w:hyperlink w:anchor="__RefHeading___Toc1166_2234708029">
        <w:r>
          <w:rPr>
            <w:webHidden/>
            <w:rStyle w:val="IndexLink"/>
            <w:vanish w:val="false"/>
          </w:rPr>
          <w:t>3.1.3 Acquiring configuration items (physical procedures)</w:t>
          <w:tab/>
          <w:t>12</w:t>
        </w:r>
      </w:hyperlink>
    </w:p>
    <w:p>
      <w:pPr>
        <w:pStyle w:val="Contents4"/>
        <w:tabs>
          <w:tab w:val="right" w:pos="9360" w:leader="dot"/>
        </w:tabs>
        <w:rPr/>
      </w:pPr>
      <w:hyperlink w:anchor="__RefHeading___Toc1168_2234708029">
        <w:r>
          <w:rPr>
            <w:webHidden/>
            <w:rStyle w:val="IndexLink"/>
            <w:vanish w:val="false"/>
          </w:rPr>
          <w:t>3.1.3.1 Google Play Services Location</w:t>
          <w:tab/>
          <w:t>12</w:t>
        </w:r>
      </w:hyperlink>
    </w:p>
    <w:p>
      <w:pPr>
        <w:pStyle w:val="Contents4"/>
        <w:tabs>
          <w:tab w:val="right" w:pos="9360" w:leader="dot"/>
        </w:tabs>
        <w:rPr/>
      </w:pPr>
      <w:hyperlink w:anchor="__RefHeading___Toc1170_2234708029">
        <w:r>
          <w:rPr>
            <w:webHidden/>
            <w:rStyle w:val="IndexLink"/>
            <w:vanish w:val="false"/>
          </w:rPr>
          <w:t>3.1.3.2 Google Play Services Maps</w:t>
          <w:tab/>
          <w:t>12</w:t>
        </w:r>
      </w:hyperlink>
    </w:p>
    <w:p>
      <w:pPr>
        <w:pStyle w:val="Contents4"/>
        <w:tabs>
          <w:tab w:val="right" w:pos="9360" w:leader="dot"/>
        </w:tabs>
        <w:rPr/>
      </w:pPr>
      <w:hyperlink w:anchor="__RefHeading___Toc1172_2234708029">
        <w:r>
          <w:rPr>
            <w:webHidden/>
            <w:rStyle w:val="IndexLink"/>
            <w:vanish w:val="false"/>
          </w:rPr>
          <w:t>3.1.3.3 Google Gson</w:t>
          <w:tab/>
          <w:t>13</w:t>
        </w:r>
      </w:hyperlink>
    </w:p>
    <w:p>
      <w:pPr>
        <w:pStyle w:val="Contents4"/>
        <w:tabs>
          <w:tab w:val="right" w:pos="9360" w:leader="dot"/>
        </w:tabs>
        <w:rPr/>
      </w:pPr>
      <w:hyperlink w:anchor="__RefHeading___Toc1174_2234708029">
        <w:r>
          <w:rPr>
            <w:webHidden/>
            <w:rStyle w:val="IndexLink"/>
            <w:vanish w:val="false"/>
          </w:rPr>
          <w:t>3.1.3.4 Google Direction Library</w:t>
          <w:tab/>
          <w:t>13</w:t>
        </w:r>
      </w:hyperlink>
    </w:p>
    <w:p>
      <w:pPr>
        <w:pStyle w:val="Contents2"/>
        <w:tabs>
          <w:tab w:val="right" w:pos="9360" w:leader="dot"/>
        </w:tabs>
        <w:rPr/>
      </w:pPr>
      <w:hyperlink w:anchor="__RefHeading___Toc1176_2234708029">
        <w:r>
          <w:rPr>
            <w:webHidden/>
            <w:rStyle w:val="IndexLink"/>
            <w:vanish w:val="false"/>
          </w:rPr>
          <w:t>3.2. Configuration control</w:t>
          <w:tab/>
          <w:t>13</w:t>
        </w:r>
      </w:hyperlink>
    </w:p>
    <w:p>
      <w:pPr>
        <w:pStyle w:val="Contents3"/>
        <w:tabs>
          <w:tab w:val="right" w:pos="9360" w:leader="dot"/>
        </w:tabs>
        <w:rPr/>
      </w:pPr>
      <w:hyperlink w:anchor="__RefHeading___Toc1178_2234708029">
        <w:r>
          <w:rPr>
            <w:webHidden/>
            <w:rStyle w:val="IndexLink"/>
            <w:vanish w:val="false"/>
          </w:rPr>
          <w:t>3.2.1 Requesting changes</w:t>
          <w:tab/>
          <w:t>13</w:t>
        </w:r>
      </w:hyperlink>
    </w:p>
    <w:p>
      <w:pPr>
        <w:pStyle w:val="Contents3"/>
        <w:tabs>
          <w:tab w:val="right" w:pos="9360" w:leader="dot"/>
        </w:tabs>
        <w:rPr/>
      </w:pPr>
      <w:hyperlink w:anchor="__RefHeading___Toc1180_2234708029">
        <w:r>
          <w:rPr>
            <w:webHidden/>
            <w:rStyle w:val="IndexLink"/>
            <w:vanish w:val="false"/>
          </w:rPr>
          <w:t>3.2.2 Evaluating changes</w:t>
          <w:tab/>
          <w:t>13</w:t>
        </w:r>
      </w:hyperlink>
    </w:p>
    <w:p>
      <w:pPr>
        <w:pStyle w:val="Contents3"/>
        <w:tabs>
          <w:tab w:val="right" w:pos="9360" w:leader="dot"/>
        </w:tabs>
        <w:rPr/>
      </w:pPr>
      <w:hyperlink w:anchor="__RefHeading___Toc1182_2234708029">
        <w:r>
          <w:rPr>
            <w:webHidden/>
            <w:rStyle w:val="IndexLink"/>
            <w:vanish w:val="false"/>
          </w:rPr>
          <w:t>3.2.3 Approving or disapproving changes</w:t>
          <w:tab/>
          <w:t>13</w:t>
        </w:r>
      </w:hyperlink>
    </w:p>
    <w:p>
      <w:pPr>
        <w:pStyle w:val="Contents3"/>
        <w:tabs>
          <w:tab w:val="right" w:pos="9360" w:leader="dot"/>
        </w:tabs>
        <w:rPr/>
      </w:pPr>
      <w:hyperlink w:anchor="__RefHeading___Toc1184_2234708029">
        <w:r>
          <w:rPr>
            <w:webHidden/>
            <w:rStyle w:val="IndexLink"/>
            <w:vanish w:val="false"/>
          </w:rPr>
          <w:t>3.2.4 Implementing changes</w:t>
          <w:tab/>
          <w:t>14</w:t>
        </w:r>
      </w:hyperlink>
    </w:p>
    <w:p>
      <w:pPr>
        <w:pStyle w:val="Contents2"/>
        <w:tabs>
          <w:tab w:val="right" w:pos="9360" w:leader="dot"/>
        </w:tabs>
        <w:rPr/>
      </w:pPr>
      <w:hyperlink w:anchor="__RefHeading___Toc1186_2234708029">
        <w:r>
          <w:rPr>
            <w:webHidden/>
            <w:rStyle w:val="IndexLink"/>
            <w:vanish w:val="false"/>
          </w:rPr>
          <w:t>3.3. Configuration status accounting</w:t>
          <w:tab/>
          <w:t>14</w:t>
        </w:r>
      </w:hyperlink>
    </w:p>
    <w:p>
      <w:pPr>
        <w:pStyle w:val="Contents2"/>
        <w:tabs>
          <w:tab w:val="right" w:pos="9360" w:leader="dot"/>
        </w:tabs>
        <w:rPr/>
      </w:pPr>
      <w:hyperlink w:anchor="__RefHeading___Toc1188_2234708029">
        <w:r>
          <w:rPr>
            <w:webHidden/>
            <w:rStyle w:val="IndexLink"/>
            <w:vanish w:val="false"/>
          </w:rPr>
          <w:t>3.4. Configuration evaluation and reviews</w:t>
          <w:tab/>
          <w:t>14</w:t>
        </w:r>
      </w:hyperlink>
    </w:p>
    <w:p>
      <w:pPr>
        <w:pStyle w:val="Contents2"/>
        <w:tabs>
          <w:tab w:val="right" w:pos="9360" w:leader="dot"/>
        </w:tabs>
        <w:rPr/>
      </w:pPr>
      <w:hyperlink w:anchor="__RefHeading___Toc1190_2234708029">
        <w:r>
          <w:rPr>
            <w:webHidden/>
            <w:rStyle w:val="IndexLink"/>
            <w:vanish w:val="false"/>
          </w:rPr>
          <w:t>3.5 Interface control</w:t>
          <w:tab/>
          <w:t>14</w:t>
        </w:r>
      </w:hyperlink>
    </w:p>
    <w:p>
      <w:pPr>
        <w:pStyle w:val="Contents2"/>
        <w:tabs>
          <w:tab w:val="right" w:pos="9360" w:leader="dot"/>
        </w:tabs>
        <w:rPr/>
      </w:pPr>
      <w:hyperlink w:anchor="__RefHeading___Toc1192_2234708029">
        <w:r>
          <w:rPr>
            <w:webHidden/>
            <w:rStyle w:val="IndexLink"/>
            <w:vanish w:val="false"/>
          </w:rPr>
          <w:t>3.6 Subcontractor/vendor control</w:t>
          <w:tab/>
          <w:t>14</w:t>
        </w:r>
      </w:hyperlink>
    </w:p>
    <w:p>
      <w:pPr>
        <w:pStyle w:val="Contents2"/>
        <w:tabs>
          <w:tab w:val="right" w:pos="9360" w:leader="dot"/>
        </w:tabs>
        <w:rPr/>
      </w:pPr>
      <w:hyperlink w:anchor="__RefHeading___Toc1194_2234708029">
        <w:r>
          <w:rPr>
            <w:webHidden/>
            <w:rStyle w:val="IndexLink"/>
            <w:vanish w:val="false"/>
          </w:rPr>
          <w:t>3.7. Release management and delivery</w:t>
          <w:tab/>
          <w:t>14</w:t>
        </w:r>
      </w:hyperlink>
    </w:p>
    <w:p>
      <w:pPr>
        <w:pStyle w:val="Contents1"/>
        <w:tabs>
          <w:tab w:val="right" w:pos="9360" w:leader="dot"/>
        </w:tabs>
        <w:rPr/>
      </w:pPr>
      <w:hyperlink w:anchor="__RefHeading___Toc1196_2234708029">
        <w:r>
          <w:rPr>
            <w:webHidden/>
            <w:rStyle w:val="IndexLink"/>
            <w:vanish w:val="false"/>
          </w:rPr>
          <w:t>4. SCM Schedules</w:t>
          <w:tab/>
          <w:t>15</w:t>
        </w:r>
      </w:hyperlink>
    </w:p>
    <w:p>
      <w:pPr>
        <w:pStyle w:val="Contents2"/>
        <w:tabs>
          <w:tab w:val="right" w:pos="9360" w:leader="dot"/>
        </w:tabs>
        <w:rPr/>
      </w:pPr>
      <w:hyperlink w:anchor="__RefHeading___Toc1198_2234708029">
        <w:r>
          <w:rPr>
            <w:webHidden/>
            <w:rStyle w:val="IndexLink"/>
            <w:vanish w:val="false"/>
          </w:rPr>
          <w:t>4.1 Milestone End Dates</w:t>
          <w:tab/>
          <w:t>15</w:t>
        </w:r>
      </w:hyperlink>
    </w:p>
    <w:p>
      <w:pPr>
        <w:pStyle w:val="Contents2"/>
        <w:tabs>
          <w:tab w:val="right" w:pos="9360" w:leader="dot"/>
        </w:tabs>
        <w:rPr/>
      </w:pPr>
      <w:hyperlink w:anchor="__RefHeading___Toc1200_2234708029">
        <w:r>
          <w:rPr>
            <w:webHidden/>
            <w:rStyle w:val="IndexLink"/>
            <w:vanish w:val="false"/>
          </w:rPr>
          <w:t>4.2 Activity Schedules</w:t>
          <w:tab/>
          <w:t>15</w:t>
        </w:r>
      </w:hyperlink>
    </w:p>
    <w:p>
      <w:pPr>
        <w:pStyle w:val="Contents1"/>
        <w:tabs>
          <w:tab w:val="right" w:pos="9360" w:leader="dot"/>
        </w:tabs>
        <w:rPr/>
      </w:pPr>
      <w:hyperlink w:anchor="__RefHeading___Toc1202_2234708029">
        <w:r>
          <w:rPr>
            <w:webHidden/>
            <w:rStyle w:val="IndexLink"/>
            <w:vanish w:val="false"/>
          </w:rPr>
          <w:t>5. SCM Resources</w:t>
          <w:tab/>
          <w:t>16</w:t>
        </w:r>
      </w:hyperlink>
    </w:p>
    <w:p>
      <w:pPr>
        <w:pStyle w:val="Contents2"/>
        <w:tabs>
          <w:tab w:val="right" w:pos="9360" w:leader="dot"/>
        </w:tabs>
        <w:rPr/>
      </w:pPr>
      <w:hyperlink w:anchor="__RefHeading___Toc1204_2234708029">
        <w:r>
          <w:rPr>
            <w:webHidden/>
            <w:rStyle w:val="IndexLink"/>
            <w:vanish w:val="false"/>
          </w:rPr>
          <w:t>5.1 Environment, infrastructure, tools, techniques, equipment, personnel, and training</w:t>
          <w:tab/>
          <w:t>16</w:t>
        </w:r>
      </w:hyperlink>
    </w:p>
    <w:p>
      <w:pPr>
        <w:pStyle w:val="Contents3"/>
        <w:tabs>
          <w:tab w:val="right" w:pos="9360" w:leader="dot"/>
        </w:tabs>
        <w:rPr/>
      </w:pPr>
      <w:hyperlink w:anchor="__RefHeading___Toc1206_2234708029">
        <w:r>
          <w:rPr>
            <w:webHidden/>
            <w:rStyle w:val="IndexLink"/>
            <w:vanish w:val="false"/>
          </w:rPr>
          <w:t>5.1.1 Configuration identification</w:t>
          <w:tab/>
          <w:t>16</w:t>
        </w:r>
      </w:hyperlink>
    </w:p>
    <w:p>
      <w:pPr>
        <w:pStyle w:val="Contents3"/>
        <w:tabs>
          <w:tab w:val="right" w:pos="9360" w:leader="dot"/>
        </w:tabs>
        <w:rPr/>
      </w:pPr>
      <w:hyperlink w:anchor="__RefHeading___Toc1208_2234708029">
        <w:r>
          <w:rPr>
            <w:webHidden/>
            <w:rStyle w:val="IndexLink"/>
            <w:vanish w:val="false"/>
          </w:rPr>
          <w:t>5.1.2 Configuration control</w:t>
          <w:tab/>
          <w:t>16</w:t>
        </w:r>
      </w:hyperlink>
    </w:p>
    <w:p>
      <w:pPr>
        <w:pStyle w:val="Contents3"/>
        <w:tabs>
          <w:tab w:val="right" w:pos="9360" w:leader="dot"/>
        </w:tabs>
        <w:rPr/>
      </w:pPr>
      <w:hyperlink w:anchor="__RefHeading___Toc1210_2234708029">
        <w:r>
          <w:rPr>
            <w:webHidden/>
            <w:rStyle w:val="IndexLink"/>
            <w:vanish w:val="false"/>
          </w:rPr>
          <w:t>5.1.3 Configuration status accounting</w:t>
          <w:tab/>
          <w:t>16</w:t>
        </w:r>
      </w:hyperlink>
    </w:p>
    <w:p>
      <w:pPr>
        <w:pStyle w:val="Contents3"/>
        <w:tabs>
          <w:tab w:val="right" w:pos="9360" w:leader="dot"/>
        </w:tabs>
        <w:rPr/>
      </w:pPr>
      <w:hyperlink w:anchor="__RefHeading___Toc1212_2234708029">
        <w:r>
          <w:rPr>
            <w:webHidden/>
            <w:rStyle w:val="IndexLink"/>
            <w:vanish w:val="false"/>
          </w:rPr>
          <w:t>5.1.4 Configuration evaluation and reviews</w:t>
          <w:tab/>
          <w:t>16</w:t>
        </w:r>
      </w:hyperlink>
    </w:p>
    <w:p>
      <w:pPr>
        <w:pStyle w:val="Contents3"/>
        <w:tabs>
          <w:tab w:val="right" w:pos="9360" w:leader="dot"/>
        </w:tabs>
        <w:rPr/>
      </w:pPr>
      <w:hyperlink w:anchor="__RefHeading___Toc1214_2234708029">
        <w:r>
          <w:rPr>
            <w:webHidden/>
            <w:rStyle w:val="IndexLink"/>
            <w:vanish w:val="false"/>
          </w:rPr>
          <w:t>5.1.5 Interface Control</w:t>
          <w:tab/>
          <w:t>17</w:t>
        </w:r>
      </w:hyperlink>
    </w:p>
    <w:p>
      <w:pPr>
        <w:pStyle w:val="Contents3"/>
        <w:tabs>
          <w:tab w:val="right" w:pos="9360" w:leader="dot"/>
        </w:tabs>
        <w:rPr/>
      </w:pPr>
      <w:hyperlink w:anchor="__RefHeading___Toc1216_2234708029">
        <w:r>
          <w:rPr>
            <w:webHidden/>
            <w:rStyle w:val="IndexLink"/>
            <w:vanish w:val="false"/>
          </w:rPr>
          <w:t>5.1.6 Subcontractor/vendor control</w:t>
          <w:tab/>
          <w:t>17</w:t>
        </w:r>
      </w:hyperlink>
    </w:p>
    <w:p>
      <w:pPr>
        <w:pStyle w:val="Contents3"/>
        <w:tabs>
          <w:tab w:val="right" w:pos="9360" w:leader="dot"/>
        </w:tabs>
        <w:rPr/>
      </w:pPr>
      <w:hyperlink w:anchor="__RefHeading___Toc1218_2234708029">
        <w:r>
          <w:rPr>
            <w:webHidden/>
            <w:rStyle w:val="IndexLink"/>
            <w:vanish w:val="false"/>
          </w:rPr>
          <w:t>5.1.7 Release Management and Delivery</w:t>
          <w:tab/>
          <w:t>17</w:t>
        </w:r>
      </w:hyperlink>
    </w:p>
    <w:p>
      <w:pPr>
        <w:pStyle w:val="Contents2"/>
        <w:tabs>
          <w:tab w:val="right" w:pos="9360" w:leader="dot"/>
        </w:tabs>
        <w:rPr/>
      </w:pPr>
      <w:hyperlink w:anchor="__RefHeading___Toc1220_2234708029">
        <w:r>
          <w:rPr>
            <w:webHidden/>
            <w:rStyle w:val="IndexLink"/>
            <w:vanish w:val="false"/>
          </w:rPr>
          <w:t>5.2 Key factors for infrastructure:</w:t>
          <w:tab/>
          <w:t>17</w:t>
        </w:r>
      </w:hyperlink>
    </w:p>
    <w:p>
      <w:pPr>
        <w:pStyle w:val="Contents1"/>
        <w:tabs>
          <w:tab w:val="right" w:pos="9360" w:leader="dot"/>
        </w:tabs>
        <w:rPr/>
      </w:pPr>
      <w:hyperlink w:anchor="__RefHeading___Toc1222_2234708029">
        <w:r>
          <w:rPr>
            <w:webHidden/>
            <w:rStyle w:val="IndexLink"/>
            <w:vanish w:val="false"/>
          </w:rPr>
          <w:t>6. SCM Plan Maintenance</w:t>
          <w:tab/>
          <w:t>18</w:t>
        </w:r>
      </w:hyperlink>
    </w:p>
    <w:p>
      <w:pPr>
        <w:pStyle w:val="Head1"/>
        <w:rPr/>
      </w:pPr>
      <w:bookmarkStart w:id="3" w:name="__RefHeading___Toc1124_2234708029"/>
      <w:bookmarkStart w:id="4" w:name="_Toc510790885"/>
      <w:bookmarkEnd w:id="3"/>
      <w:r>
        <w:rPr/>
        <w:t>1. Introduction</w:t>
      </w:r>
      <w:r>
        <w:rPr/>
        <w:fldChar w:fldCharType="end"/>
      </w:r>
      <w:bookmarkEnd w:id="4"/>
    </w:p>
    <w:p>
      <w:pPr>
        <w:pStyle w:val="Head2"/>
        <w:rPr/>
      </w:pPr>
      <w:bookmarkStart w:id="5" w:name="__RefHeading___Toc1126_2234708029"/>
      <w:bookmarkStart w:id="6" w:name="_Toc510790886"/>
      <w:bookmarkEnd w:id="5"/>
      <w:r>
        <w:rPr/>
        <w:t>1.1 Purpose</w:t>
      </w:r>
      <w:bookmarkEnd w:id="6"/>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This plan exists to ensure orderly, controlled management of changes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primary users of this document are assumed to be those participating in SCM activities as part of the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2"/>
        <w:rPr/>
      </w:pPr>
      <w:r>
        <w:rPr/>
      </w:r>
      <w:r>
        <w:br w:type="page"/>
      </w:r>
    </w:p>
    <w:p>
      <w:pPr>
        <w:pStyle w:val="Head2"/>
        <w:rPr/>
      </w:pPr>
      <w:bookmarkStart w:id="7" w:name="__RefHeading___Toc1128_2234708029"/>
      <w:bookmarkStart w:id="8" w:name="_Toc510790887"/>
      <w:bookmarkEnd w:id="7"/>
      <w:r>
        <w:rPr/>
        <w:t>1.2 Scope</w:t>
      </w:r>
      <w:bookmarkEnd w:id="8"/>
    </w:p>
    <w:p>
      <w:pPr>
        <w:pStyle w:val="Head3"/>
        <w:rPr/>
      </w:pPr>
      <w:bookmarkStart w:id="9" w:name="__RefHeading___Toc1130_2234708029"/>
      <w:bookmarkStart w:id="10" w:name="_Toc510790888"/>
      <w:bookmarkEnd w:id="9"/>
      <w:r>
        <w:rPr/>
        <w:t>1.2.1 Overview description of the software project.</w:t>
      </w:r>
      <w:bookmarkEnd w:id="10"/>
      <w:r>
        <w:rPr/>
        <w:t xml:space="preserve"> </w:t>
      </w:r>
    </w:p>
    <w:p>
      <w:pPr>
        <w:pStyle w:val="Normal"/>
        <w:spacing w:lineRule="auto" w:line="240"/>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application is designed to provide college students at Texas Tech University with a better way to find their classes, navigate through campus, and schedule their day. </w:t>
      </w:r>
    </w:p>
    <w:p>
      <w:pPr>
        <w:pStyle w:val="Head3"/>
        <w:rPr/>
      </w:pPr>
      <w:bookmarkStart w:id="11" w:name="__RefHeading___Toc1132_2234708029"/>
      <w:bookmarkStart w:id="12" w:name="_Toc510790889"/>
      <w:bookmarkEnd w:id="11"/>
      <w:r>
        <w:rPr/>
        <w:t>1.2.2 Applicability</w:t>
      </w:r>
      <w:bookmarkEnd w:id="12"/>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pPr>
        <w:pStyle w:val="Head3"/>
        <w:rPr/>
      </w:pPr>
      <w:bookmarkStart w:id="13" w:name="__RefHeading___Toc1134_2234708029"/>
      <w:bookmarkStart w:id="14" w:name="_Toc510790890"/>
      <w:bookmarkEnd w:id="13"/>
      <w:r>
        <w:rPr/>
        <w:t>1.2.3 Identification of other software to be included as part of the plan</w:t>
      </w:r>
      <w:bookmarkEnd w:id="1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pPr>
        <w:pStyle w:val="Head3"/>
        <w:rPr/>
      </w:pPr>
      <w:bookmarkStart w:id="15" w:name="__RefHeading___Toc1136_2234708029"/>
      <w:bookmarkStart w:id="16" w:name="_Toc510790891"/>
      <w:bookmarkEnd w:id="15"/>
      <w:r>
        <w:rPr/>
        <w:t>1.2.4 Relationship of SCM to the hardware or SCM activities for the project</w:t>
      </w:r>
      <w:bookmarkEnd w:id="16"/>
    </w:p>
    <w:p>
      <w:pPr>
        <w:pStyle w:val="Normal"/>
        <w:ind w:left="2160" w:hanging="0"/>
        <w:rPr>
          <w:color w:val="000000" w:themeColor="text1"/>
        </w:rPr>
      </w:pPr>
      <w:r>
        <w:rPr>
          <w:rFonts w:eastAsia="Times New Roman" w:cs="Times New Roman" w:ascii="Times New Roman" w:hAnsi="Times New Roman"/>
          <w:color w:val="000000" w:themeColor="text1"/>
        </w:rPr>
        <w:t>No relationship between the SCM and hardware activities has been identified.</w:t>
      </w:r>
    </w:p>
    <w:p>
      <w:pPr>
        <w:pStyle w:val="Head3"/>
        <w:rPr/>
      </w:pPr>
      <w:bookmarkStart w:id="17" w:name="__RefHeading___Toc1138_2234708029"/>
      <w:bookmarkStart w:id="18" w:name="_Toc510790892"/>
      <w:bookmarkEnd w:id="17"/>
      <w:r>
        <w:rPr/>
        <w:t>1.2.5 The degree of formality, depth of control, and portion of the software life cycle for applying SCM on this project</w:t>
      </w:r>
      <w:bookmarkEnd w:id="18"/>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SCM will be applied informally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Flexibility and loose adherence is expected. This SCM applies to all portions of the software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3"/>
        <w:ind w:left="1440" w:hanging="0"/>
        <w:rPr/>
      </w:pPr>
      <w:bookmarkStart w:id="19" w:name="__RefHeading___Toc1140_2234708029"/>
      <w:bookmarkStart w:id="20" w:name="_Toc510790893"/>
      <w:bookmarkEnd w:id="19"/>
      <w:r>
        <w:rPr/>
        <w:t>1.2.6 Limitations</w:t>
      </w:r>
      <w:bookmarkEnd w:id="20"/>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Limitations which apply to this plan include:</w:t>
      </w:r>
    </w:p>
    <w:p>
      <w:pPr>
        <w:pStyle w:val="Normal"/>
        <w:numPr>
          <w:ilvl w:val="0"/>
          <w:numId w:val="2"/>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Time constraints - In the event that a change is inconsistent with this plan and a short deadline requires the change, implementation of the change takes precedence over adherence to this plan.</w:t>
      </w:r>
    </w:p>
    <w:p>
      <w:pPr>
        <w:pStyle w:val="Head3"/>
        <w:rPr/>
      </w:pPr>
      <w:bookmarkStart w:id="21" w:name="__RefHeading___Toc1142_2234708029"/>
      <w:bookmarkStart w:id="22" w:name="_Toc510790894"/>
      <w:bookmarkEnd w:id="21"/>
      <w:r>
        <w:rPr/>
        <w:t>1.2.7 Assumptions that might have an impact on the cost, schedule, or ability to perform defined SCM activities</w:t>
      </w:r>
      <w:bookmarkEnd w:id="22"/>
      <w:r>
        <w:rPr/>
        <w:t xml:space="preserve"> </w:t>
      </w:r>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pPr>
        <w:pStyle w:val="Head2"/>
        <w:rPr/>
      </w:pPr>
      <w:r>
        <w:rPr/>
      </w:r>
      <w:r>
        <w:br w:type="page"/>
      </w:r>
    </w:p>
    <w:p>
      <w:pPr>
        <w:pStyle w:val="Head2"/>
        <w:rPr/>
      </w:pPr>
      <w:bookmarkStart w:id="23" w:name="__RefHeading___Toc1144_2234708029"/>
      <w:bookmarkStart w:id="24" w:name="_Toc510790895"/>
      <w:bookmarkEnd w:id="23"/>
      <w:r>
        <w:rPr/>
        <w:t>1.3 Key Terms</w:t>
      </w:r>
      <w:bookmarkEnd w:id="2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Key terms used in this plan include: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Agile - A software development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API - Application Programming Interface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 A specific system; list of all specific component versions included in the system plus a specification of the libraries and configuration files involved</w:t>
      </w:r>
    </w:p>
    <w:p>
      <w:pPr>
        <w:pStyle w:val="Normal"/>
        <w:numPr>
          <w:ilvl w:val="0"/>
          <w:numId w:val="3"/>
        </w:numPr>
        <w:spacing w:before="0" w:after="160"/>
        <w:contextualSpacing/>
        <w:rPr/>
      </w:pPr>
      <w:r>
        <w:rPr>
          <w:rFonts w:eastAsia="Times New Roman" w:cs="Times New Roman" w:ascii="Times New Roman" w:hAnsi="Times New Roman"/>
          <w:color w:val="000000" w:themeColor="text1"/>
        </w:rPr>
        <w:t>CI - Configuration Item (except in the case of TravisCI, where it stands for Continuous Integration)</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Codeline - Sequence of versions of code with later versions derived from earlier versions; applies to each component separately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IDE - Integrated Development Environment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Mainline - A sequence of baselines representing different versions of a system</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 Customer requesting software in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 Software Configuration Management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 An Agile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 Project manager of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SDLC - Software Development Lifecycle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w:t>
      </w:r>
      <w:r>
        <w:rPr>
          <w:rFonts w:eastAsia="Times New Roman" w:cs="Times New Roman" w:ascii="Times New Roman" w:hAnsi="Times New Roman"/>
          <w:color w:val="000000" w:themeColor="text1"/>
        </w:rPr>
        <w:t>The Plan”/“this plan” - This document</w:t>
      </w:r>
    </w:p>
    <w:p>
      <w:pPr>
        <w:pStyle w:val="Head2"/>
        <w:rPr/>
      </w:pPr>
      <w:bookmarkStart w:id="25" w:name="__RefHeading___Toc1146_2234708029"/>
      <w:bookmarkStart w:id="26" w:name="_Toc510790896"/>
      <w:bookmarkEnd w:id="25"/>
      <w:r>
        <w:rPr/>
        <w:t>1.4 References</w:t>
      </w:r>
      <w:bookmarkEnd w:id="26"/>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includes all references to policies, directives, procedures, standards, terminology, and related documents.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 is meant to conform to the requirements of IEEE Std 828-2005.</w:t>
      </w:r>
    </w:p>
    <w:p>
      <w:pPr>
        <w:pStyle w:val="Normal"/>
        <w:ind w:left="144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27" w:name="__RefHeading___Toc1148_2234708029"/>
      <w:bookmarkStart w:id="28" w:name="_Toc510790897"/>
      <w:bookmarkEnd w:id="27"/>
      <w:r>
        <w:rPr/>
        <w:t>2. SCM Management</w:t>
      </w:r>
      <w:bookmarkEnd w:id="28"/>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is intended to be used by organizations and individuals within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structure. It identifies the responsibilities (and allocation thereof) and authorities for managing and accomplishing planned SCM activities.</w:t>
      </w:r>
    </w:p>
    <w:p>
      <w:pPr>
        <w:pStyle w:val="Head2"/>
        <w:rPr/>
      </w:pPr>
      <w:bookmarkStart w:id="29" w:name="__RefHeading___Toc1150_2234708029"/>
      <w:bookmarkStart w:id="30" w:name="_Toc510790898"/>
      <w:bookmarkEnd w:id="29"/>
      <w:r>
        <w:rPr/>
        <w:t>2.1 Organization</w:t>
      </w:r>
      <w:bookmarkEnd w:id="30"/>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as outlined in this plan applies to Team Getana. Team Getana is responsible for any and all SCM activity on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as well as the problem resolution process.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Getana members include Arpit Desai, Brody Williams, Michael Acosta, Vasilis Vloutis, Sakshyam Silwal, and Yong Wu.</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pPr>
        <w:pStyle w:val="Head2"/>
        <w:rPr/>
      </w:pPr>
      <w:bookmarkStart w:id="31" w:name="__RefHeading___Toc1152_2234708029"/>
      <w:bookmarkStart w:id="32" w:name="_Toc510790899"/>
      <w:bookmarkEnd w:id="31"/>
      <w:r>
        <w:rPr/>
        <w:t>2.2. Responsibilities</w:t>
      </w:r>
      <w:bookmarkEnd w:id="32"/>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Product Owner will prioritize features to be implemented in the project and be responsible for generating new user stories for the project.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Development Team will be responsible for implementation and documentation.</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 rotation schedules follow.</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0: No team member was assigned any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bookmarkStart w:id="33" w:name="_gjdgxs"/>
            <w:bookmarkStart w:id="34" w:name="_gjdgxs"/>
            <w:bookmarkEnd w:id="34"/>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2 (Sprints 2 and 3):</w:t>
      </w:r>
    </w:p>
    <w:tbl>
      <w:tblPr>
        <w:tblW w:w="4680"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3 (Sprint 5):</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Yong</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pPr>
      <w:r>
        <w:rPr>
          <w:rFonts w:eastAsia="Times New Roman" w:cs="Times New Roman" w:ascii="Times New Roman" w:hAnsi="Times New Roman"/>
          <w:color w:val="000000" w:themeColor="text1"/>
        </w:rPr>
        <w:t>Deliverable 4:</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Michael</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7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2"/>
        <w:rPr/>
      </w:pPr>
      <w:bookmarkStart w:id="35" w:name="__RefHeading___Toc1154_2234708029"/>
      <w:bookmarkStart w:id="36" w:name="_Toc510790900"/>
      <w:bookmarkEnd w:id="35"/>
      <w:r>
        <w:rPr/>
        <w:t>2.3. Applicable policies, directives, and procedures</w:t>
      </w:r>
      <w:bookmarkEnd w:id="36"/>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SCM policies, directives, or external procedures have been identified to apply to this project.</w:t>
      </w:r>
    </w:p>
    <w:p>
      <w:pPr>
        <w:pStyle w:val="Head2"/>
        <w:rPr/>
      </w:pPr>
      <w:bookmarkStart w:id="37" w:name="__RefHeading___Toc1156_2234708029"/>
      <w:bookmarkStart w:id="38" w:name="_Toc510790901"/>
      <w:bookmarkEnd w:id="37"/>
      <w:r>
        <w:rPr/>
        <w:t>2.4 Management of the SCM process</w:t>
      </w:r>
      <w:bookmarkEnd w:id="38"/>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Team Getana is responsible for the overall SCM process.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Independent surveillance of SCM activities to ensure compliance with the SCM plan will not take place, and no organization will be assigned this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Risks, including technical, economic, schedule, and managerial risks associated with the performance of SCM activities include:</w:t>
      </w:r>
    </w:p>
    <w:p>
      <w:pPr>
        <w:pStyle w:val="Normal"/>
        <w:numPr>
          <w:ilvl w:val="0"/>
          <w:numId w:val="1"/>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39" w:name="__RefHeading___Toc1158_2234708029"/>
      <w:bookmarkStart w:id="40" w:name="_Toc510790902"/>
      <w:bookmarkEnd w:id="39"/>
      <w:r>
        <w:rPr/>
        <w:t>3. SCM Activities</w:t>
      </w:r>
      <w:bookmarkEnd w:id="40"/>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pPr>
        <w:pStyle w:val="Head2"/>
        <w:rPr/>
      </w:pPr>
      <w:bookmarkStart w:id="41" w:name="__RefHeading___Toc1160_2234708029"/>
      <w:bookmarkStart w:id="42" w:name="_Toc510790903"/>
      <w:bookmarkEnd w:id="41"/>
      <w:r>
        <w:rPr/>
        <w:t>3.1 Configuration identification</w:t>
      </w:r>
      <w:bookmarkEnd w:id="42"/>
      <w:r>
        <w:rPr/>
        <w:t xml:space="preserve"> </w:t>
      </w:r>
    </w:p>
    <w:p>
      <w:pPr>
        <w:pStyle w:val="Head3"/>
        <w:rPr/>
      </w:pPr>
      <w:bookmarkStart w:id="43" w:name="__RefHeading___Toc1162_2234708029"/>
      <w:bookmarkStart w:id="44" w:name="_Toc510790904"/>
      <w:bookmarkEnd w:id="43"/>
      <w:r>
        <w:rPr/>
        <w:t>3.1.1 Identify configuration items (events, items, procedures)</w:t>
      </w:r>
      <w:bookmarkEnd w:id="44"/>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baseline is triggered by deliverable dates. Each deliverable will be regarded as the next iteration of the baseline.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Items controlled in the baseline include: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File format for application file storage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External API versions</w:t>
      </w:r>
    </w:p>
    <w:p>
      <w:pPr>
        <w:pStyle w:val="Normal"/>
        <w:numPr>
          <w:ilvl w:val="0"/>
          <w:numId w:val="4"/>
        </w:numPr>
        <w:spacing w:before="0" w:after="160"/>
        <w:contextualSpacing/>
        <w:rPr/>
      </w:pPr>
      <w:r>
        <w:rPr>
          <w:rFonts w:eastAsia="Times New Roman" w:cs="Times New Roman" w:ascii="Times New Roman" w:hAnsi="Times New Roman"/>
          <w:color w:val="000000" w:themeColor="text1"/>
        </w:rPr>
        <w:t>Domain Model &amp; Detailed Design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Architecture &amp; Design Pattern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Platform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Backlog</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Backlog</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Requirements Specification</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Member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review</w:t>
      </w:r>
    </w:p>
    <w:p>
      <w:pPr>
        <w:pStyle w:val="Normal"/>
        <w:numPr>
          <w:ilvl w:val="0"/>
          <w:numId w:val="4"/>
        </w:numPr>
        <w:spacing w:before="0" w:after="160"/>
        <w:contextualSpacing/>
        <w:rPr/>
      </w:pPr>
      <w:r>
        <w:rPr>
          <w:rFonts w:eastAsia="Times New Roman" w:cs="Times New Roman" w:ascii="Times New Roman" w:hAnsi="Times New Roman"/>
          <w:color w:val="000000" w:themeColor="text1"/>
        </w:rPr>
        <w:t>Focus Group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Usability Study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Daily Scrum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cases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plans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APK files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Support environments</w:t>
      </w:r>
    </w:p>
    <w:p>
      <w:pPr>
        <w:pStyle w:val="Normal"/>
        <w:numPr>
          <w:ilvl w:val="0"/>
          <w:numId w:val="4"/>
        </w:numPr>
        <w:spacing w:before="0" w:after="160"/>
        <w:contextualSpacing/>
        <w:rPr/>
      </w:pPr>
      <w:r>
        <w:rPr>
          <w:rFonts w:eastAsia="Times New Roman" w:cs="Times New Roman" w:ascii="Times New Roman" w:hAnsi="Times New Roman"/>
          <w:color w:val="000000" w:themeColor="text1"/>
        </w:rPr>
        <w:t>This document</w:t>
      </w:r>
    </w:p>
    <w:p>
      <w:pPr>
        <w:pStyle w:val="Normal"/>
        <w:numPr>
          <w:ilvl w:val="0"/>
          <w:numId w:val="0"/>
        </w:numPr>
        <w:spacing w:before="0" w:after="160"/>
        <w:ind w:left="2880" w:hanging="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between team members is sufficient to approve changes to the baseline.</w:t>
      </w:r>
    </w:p>
    <w:p>
      <w:pPr>
        <w:pStyle w:val="Normal"/>
        <w:ind w:left="2160" w:hanging="0"/>
        <w:rPr/>
      </w:pPr>
      <w:r>
        <w:rPr>
          <w:rFonts w:eastAsia="Times New Roman" w:cs="Times New Roman" w:ascii="Times New Roman" w:hAnsi="Times New Roman"/>
          <w:color w:val="000000" w:themeColor="text1"/>
        </w:rPr>
        <w:t>In order to identify CIs which should be controlled by this plan, care must be taken by team members to observe product breakages. In the event that a product breakage occurs, a review and casual cost-benefit analysis must be performed to determine whether the changed item will create more overhead as a controlled CI than will result from fixing future breakages. If the CI would likely create less overhead while controlled, it should be added to this plan.</w:t>
      </w:r>
      <w:r>
        <w:br w:type="page"/>
      </w:r>
    </w:p>
    <w:p>
      <w:pPr>
        <w:pStyle w:val="Head3"/>
        <w:rPr/>
      </w:pPr>
      <w:bookmarkStart w:id="45" w:name="__RefHeading___Toc1164_2234708029"/>
      <w:bookmarkStart w:id="46" w:name="_Toc510790905"/>
      <w:bookmarkEnd w:id="45"/>
      <w:r>
        <w:rPr/>
        <w:t>3.1.2 Name configuration items (unique identifiers)</w:t>
      </w:r>
      <w:bookmarkEnd w:id="46"/>
      <w:r>
        <w:rPr/>
        <w:t xml:space="preserve"> </w:t>
      </w:r>
    </w:p>
    <w:p>
      <w:pPr>
        <w:pStyle w:val="Normal"/>
        <w:ind w:left="2160" w:hanging="0"/>
        <w:rPr/>
      </w:pPr>
      <w:r>
        <w:rPr>
          <w:rFonts w:eastAsia="Times New Roman" w:cs="Times New Roman" w:ascii="Times New Roman" w:hAnsi="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Uncontrolled items should be placed within the “artifacts” folder within the “docs” folder.</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Baselines will be referred to by deliverable number, but code will follow no such file naming convention.</w:t>
      </w:r>
    </w:p>
    <w:p>
      <w:pPr>
        <w:pStyle w:val="Head3"/>
        <w:rPr/>
      </w:pPr>
      <w:bookmarkStart w:id="47" w:name="__RefHeading___Toc1166_2234708029"/>
      <w:bookmarkStart w:id="48" w:name="_Toc510790906"/>
      <w:bookmarkEnd w:id="47"/>
      <w:r>
        <w:rPr/>
        <w:t>3.1.3 Acquiring configuration items (physical procedures)</w:t>
      </w:r>
      <w:bookmarkEnd w:id="48"/>
      <w:r>
        <w:rPr/>
        <w:t xml:space="preserve"> </w:t>
      </w:r>
    </w:p>
    <w:p>
      <w:pPr>
        <w:pStyle w:val="Normal"/>
        <w:ind w:left="2160" w:hanging="0"/>
        <w:rPr/>
      </w:pPr>
      <w:r>
        <w:rPr>
          <w:rFonts w:eastAsia="Times New Roman" w:cs="Times New Roman" w:ascii="Times New Roman" w:hAnsi="Times New Roman"/>
          <w:color w:val="000000" w:themeColor="text1"/>
        </w:rPr>
        <w:t xml:space="preserve">CIs will be maintained on GitHub at: </w:t>
        <w:tab/>
      </w:r>
      <w:hyperlink r:id="rId2">
        <w:r>
          <w:rPr>
            <w:rStyle w:val="ListLabel37"/>
            <w:rFonts w:eastAsia="Calibri"/>
          </w:rPr>
          <w:t>https://www.github.com/aluminiumi/RaiderNAV</w:t>
        </w:r>
      </w:hyperlink>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physical documents will be controlled.</w:t>
      </w:r>
    </w:p>
    <w:p>
      <w:pPr>
        <w:pStyle w:val="Normal"/>
        <w:ind w:left="2160" w:hanging="0"/>
        <w:rPr/>
      </w:pPr>
      <w:r>
        <w:rPr>
          <w:rFonts w:eastAsia="Times New Roman" w:cs="Times New Roman" w:ascii="Times New Roman" w:hAnsi="Times New Roman"/>
          <w:color w:val="000000" w:themeColor="text1"/>
        </w:rPr>
        <w:t xml:space="preserve">External libraries will be pulled in by Gradle, and must be specified in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within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on the GitHub repository. Software libraries, including documentation and data, will not be placed under physical control except insofar as specific versions will be identified for use. No documentation requirements or inspection requirements have been identified at this time.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in the root project folder (not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must include the following lines in the repositories block to ensure import of currently-identified external libraries:</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google()</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jcenter()</w:t>
      </w:r>
    </w:p>
    <w:p>
      <w:pPr>
        <w:pStyle w:val="Normal"/>
        <w:ind w:left="2160" w:hanging="0"/>
        <w:rPr/>
      </w:pPr>
      <w:r>
        <w:rPr>
          <w:rFonts w:eastAsia="Times New Roman" w:cs="Times New Roman" w:ascii="Times New Roman" w:hAnsi="Times New Roman"/>
          <w:color w:val="000000" w:themeColor="text1"/>
        </w:rPr>
        <w:t>No retention periods or disaster prevention and recovery procedures are implemented.</w:t>
      </w:r>
    </w:p>
    <w:p>
      <w:pPr>
        <w:pStyle w:val="Normal"/>
        <w:ind w:left="2160" w:hanging="0"/>
        <w:rPr>
          <w:color w:val="000000" w:themeColor="text1"/>
        </w:rPr>
      </w:pPr>
      <w:r>
        <w:rPr>
          <w:rFonts w:eastAsia="Times New Roman" w:cs="Times New Roman" w:ascii="Times New Roman" w:hAnsi="Times New Roman"/>
          <w:color w:val="000000" w:themeColor="text1"/>
        </w:rPr>
        <w:t>The following external libraries are controlled:</w:t>
      </w:r>
    </w:p>
    <w:p>
      <w:pPr>
        <w:pStyle w:val="Head4"/>
        <w:rPr/>
      </w:pPr>
      <w:bookmarkStart w:id="49" w:name="__RefHeading___Toc1168_2234708029"/>
      <w:bookmarkStart w:id="50" w:name="_Toc510790907"/>
      <w:bookmarkEnd w:id="49"/>
      <w:r>
        <w:rPr/>
        <w:t>3.1.3.1 Google Play Services Location</w:t>
      </w:r>
      <w:bookmarkEnd w:id="50"/>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9.2.0 or lower, as newer versions require newer versions are incompatible with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‘com.google.android.gms:play-services-location:9.2.0’</w:t>
      </w:r>
    </w:p>
    <w:p>
      <w:pPr>
        <w:pStyle w:val="Normal"/>
        <w:ind w:left="3600" w:hanging="0"/>
        <w:rPr>
          <w:i/>
          <w:i/>
          <w:iCs/>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1" w:name="__RefHeading___Toc1170_2234708029"/>
      <w:bookmarkStart w:id="52" w:name="_Toc510790908"/>
      <w:bookmarkEnd w:id="51"/>
      <w:r>
        <w:rPr/>
        <w:t>3.1.3.2 Google Play Services Maps</w:t>
      </w:r>
      <w:bookmarkEnd w:id="52"/>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9.2.0 or lower, as newer versions require newer versions are incompatible with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'com.google.android.gms:play-services-maps:9.2.0'</w:t>
      </w:r>
    </w:p>
    <w:p>
      <w:pPr>
        <w:pStyle w:val="Normal"/>
        <w:ind w:left="3600" w:hanging="0"/>
        <w:rPr>
          <w:i/>
          <w:i/>
          <w:iCs/>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3" w:name="__RefHeading___Toc1172_2234708029"/>
      <w:bookmarkStart w:id="54" w:name="_Toc510790909"/>
      <w:bookmarkEnd w:id="53"/>
      <w:r>
        <w:rPr/>
        <w:t>3.1.3.3 Google Gson</w:t>
      </w:r>
      <w:bookmarkEnd w:id="54"/>
    </w:p>
    <w:p>
      <w:pPr>
        <w:pStyle w:val="Normal"/>
        <w:ind w:left="3600" w:hanging="0"/>
        <w:rPr>
          <w:rFonts w:ascii="FreeMono" w:hAnsi="FreeMono"/>
          <w:color w:val="000000" w:themeColor="text1"/>
        </w:rPr>
      </w:pPr>
      <w:r>
        <w:rPr>
          <w:rFonts w:eastAsia="Times New Roman" w:cs="Times New Roman" w:ascii="Times New Roman" w:hAnsi="Times New Roman"/>
          <w:color w:val="000000" w:themeColor="text1"/>
        </w:rPr>
        <w:t>At this time, no specific version of this library has been identified for control. The latest available version may be used.</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'com.google.code.gson:gson:2.8.2'</w:t>
      </w:r>
    </w:p>
    <w:p>
      <w:pPr>
        <w:pStyle w:val="Normal"/>
        <w:ind w:left="3600" w:hanging="0"/>
        <w:rPr>
          <w:rFonts w:ascii="FreeMono" w:hAnsi="FreeMono"/>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5" w:name="__RefHeading___Toc1174_2234708029"/>
      <w:bookmarkStart w:id="56" w:name="_Toc510790910"/>
      <w:bookmarkEnd w:id="55"/>
      <w:r>
        <w:rPr/>
        <w:t>3.1.3.4 Google Direction Library</w:t>
      </w:r>
      <w:bookmarkEnd w:id="56"/>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1.0.4 or lower, as newer versions require newer versions of Google Play Services which are unavailable to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'com.akexorcist:googledirectionlibrary:1.0.4'</w:t>
      </w:r>
    </w:p>
    <w:p>
      <w:pPr>
        <w:pStyle w:val="Normal"/>
        <w:ind w:left="3600" w:hanging="0"/>
        <w:rPr>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 xml:space="preserve">. </w:t>
      </w:r>
    </w:p>
    <w:p>
      <w:pPr>
        <w:pStyle w:val="Head2"/>
        <w:rPr/>
      </w:pPr>
      <w:bookmarkStart w:id="57" w:name="__RefHeading___Toc1176_2234708029"/>
      <w:bookmarkStart w:id="58" w:name="_Toc510790911"/>
      <w:bookmarkEnd w:id="57"/>
      <w:r>
        <w:rPr/>
        <w:t>3.2. Configuration control</w:t>
      </w:r>
      <w:bookmarkEnd w:id="58"/>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following change controls are imposed on all baselined CIs identified in 3.1.1.</w:t>
      </w:r>
    </w:p>
    <w:p>
      <w:pPr>
        <w:pStyle w:val="Head3"/>
        <w:rPr/>
      </w:pPr>
      <w:bookmarkStart w:id="59" w:name="__RefHeading___Toc1178_2234708029"/>
      <w:bookmarkStart w:id="60" w:name="_Toc510790912"/>
      <w:bookmarkEnd w:id="59"/>
      <w:r>
        <w:rPr/>
        <w:t>3.2.1 Requesting changes</w:t>
      </w:r>
      <w:bookmarkEnd w:id="60"/>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To request a change to a baselined CI, the need for the change must be made known at a scrum meeting or by broadcast text messaging to the team. No record of the change request need be maintained.</w:t>
      </w:r>
    </w:p>
    <w:p>
      <w:pPr>
        <w:pStyle w:val="Head3"/>
        <w:rPr/>
      </w:pPr>
      <w:bookmarkStart w:id="61" w:name="__RefHeading___Toc1180_2234708029"/>
      <w:bookmarkStart w:id="62" w:name="_Toc510790913"/>
      <w:bookmarkEnd w:id="61"/>
      <w:r>
        <w:rPr/>
        <w:t>3.2.2 Evaluating changes</w:t>
      </w:r>
      <w:bookmarkEnd w:id="62"/>
    </w:p>
    <w:p>
      <w:pPr>
        <w:pStyle w:val="Normal"/>
        <w:ind w:left="2160" w:hanging="0"/>
        <w:rPr/>
      </w:pPr>
      <w:r>
        <w:rPr>
          <w:rFonts w:eastAsia="Times New Roman" w:cs="Times New Roman" w:ascii="Times New Roman" w:hAnsi="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pPr>
        <w:pStyle w:val="Head3"/>
        <w:rPr/>
      </w:pPr>
      <w:bookmarkStart w:id="63" w:name="__RefHeading___Toc1182_2234708029"/>
      <w:bookmarkStart w:id="64" w:name="_Toc510790914"/>
      <w:bookmarkEnd w:id="63"/>
      <w:r>
        <w:rPr/>
        <w:t>3.2.3 Approving or disapproving changes</w:t>
      </w:r>
      <w:bookmarkEnd w:id="64"/>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must be reached among stakeholders to either approve or disapprove a change request.</w:t>
      </w:r>
    </w:p>
    <w:p>
      <w:pPr>
        <w:pStyle w:val="Head3"/>
        <w:rPr/>
      </w:pPr>
      <w:bookmarkStart w:id="65" w:name="__RefHeading___Toc1184_2234708029"/>
      <w:bookmarkStart w:id="66" w:name="_Toc510790915"/>
      <w:bookmarkEnd w:id="65"/>
      <w:r>
        <w:rPr/>
        <w:t>3.2.4 Implementing changes</w:t>
      </w:r>
      <w:bookmarkEnd w:id="66"/>
      <w:r>
        <w:rPr/>
        <w:t xml:space="preserve"> </w:t>
      </w:r>
    </w:p>
    <w:p>
      <w:pPr>
        <w:pStyle w:val="Normal"/>
        <w:ind w:left="216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pPr>
        <w:pStyle w:val="Head2"/>
        <w:rPr/>
      </w:pPr>
      <w:bookmarkStart w:id="67" w:name="__RefHeading___Toc1186_2234708029"/>
      <w:bookmarkStart w:id="68" w:name="_Toc510790916"/>
      <w:bookmarkEnd w:id="67"/>
      <w:r>
        <w:rPr/>
        <w:t>3.3. Configuration status accounting</w:t>
      </w:r>
      <w:bookmarkEnd w:id="68"/>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statuses as tracked in GitHub include Open, Closed, and Merged. The information is publicly accessible on the internet.</w:t>
      </w:r>
    </w:p>
    <w:p>
      <w:pPr>
        <w:pStyle w:val="Head2"/>
        <w:rPr/>
      </w:pPr>
      <w:bookmarkStart w:id="69" w:name="__RefHeading___Toc1188_2234708029"/>
      <w:bookmarkStart w:id="70" w:name="_Toc510790917"/>
      <w:bookmarkEnd w:id="69"/>
      <w:r>
        <w:rPr/>
        <w:t>3.4. Configuration evaluation and reviews</w:t>
      </w:r>
      <w:bookmarkEnd w:id="70"/>
    </w:p>
    <w:p>
      <w:pPr>
        <w:pStyle w:val="Normal"/>
        <w:ind w:left="1440" w:hanging="0"/>
        <w:rPr/>
      </w:pPr>
      <w:r>
        <w:rPr>
          <w:rFonts w:eastAsia="Times New Roman" w:cs="Times New Roman" w:ascii="Times New Roman" w:hAnsi="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documents other than the CI documentation under review and the initial project requirement documents are needed to perform the review. No records of configuration audits will be maintained. In the event of a failed audit, a change must be implemented immediately by the development team to rectify the failure.</w:t>
      </w:r>
    </w:p>
    <w:p>
      <w:pPr>
        <w:pStyle w:val="Head2"/>
        <w:rPr/>
      </w:pPr>
      <w:bookmarkStart w:id="71" w:name="__RefHeading___Toc1190_2234708029"/>
      <w:bookmarkStart w:id="72" w:name="_Toc510790918"/>
      <w:bookmarkEnd w:id="71"/>
      <w:r>
        <w:rPr/>
        <w:t>3.5 Interface control</w:t>
      </w:r>
      <w:bookmarkEnd w:id="72"/>
    </w:p>
    <w:p>
      <w:pPr>
        <w:pStyle w:val="Normal"/>
        <w:ind w:left="1440" w:hanging="0"/>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interfaces with Android OS 4.0.3 and with the Google Maps API 9.2.0 in accordance with the APIs published by Google.</w:t>
      </w:r>
    </w:p>
    <w:p>
      <w:pPr>
        <w:pStyle w:val="Head2"/>
        <w:rPr/>
      </w:pPr>
      <w:bookmarkStart w:id="73" w:name="__RefHeading___Toc1192_2234708029"/>
      <w:bookmarkStart w:id="74" w:name="_Toc510790919"/>
      <w:bookmarkEnd w:id="73"/>
      <w:r>
        <w:rPr/>
        <w:t>3.6 Subcontractor/vendor control</w:t>
      </w:r>
      <w:bookmarkEnd w:id="7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does not incorporate subcontracted software and hence requires no procedure to monitor subcontractors.</w:t>
      </w:r>
    </w:p>
    <w:p>
      <w:pPr>
        <w:pStyle w:val="Head2"/>
        <w:rPr/>
      </w:pPr>
      <w:bookmarkStart w:id="75" w:name="__RefHeading___Toc1194_2234708029"/>
      <w:bookmarkStart w:id="76" w:name="_Toc510790920"/>
      <w:bookmarkEnd w:id="75"/>
      <w:r>
        <w:rPr/>
        <w:t>3.7. Release management and delivery</w:t>
      </w:r>
      <w:bookmarkEnd w:id="76"/>
    </w:p>
    <w:p>
      <w:pPr>
        <w:pStyle w:val="Normal"/>
        <w:ind w:left="1440" w:hanging="0"/>
        <w:rPr/>
      </w:pPr>
      <w:r>
        <w:rPr>
          <w:rFonts w:eastAsia="Times New Roman" w:cs="Times New Roman" w:ascii="Times New Roman" w:hAnsi="Times New Roman"/>
          <w:color w:val="000000" w:themeColor="text1"/>
        </w:rPr>
        <w:t>Release management will be performed by the Scrum Master while finalizing each deliverable. Delivery of software is fixed by product deliverable requirements and includes submitting a compressed package (ZIP archive) of all relevant project work to Blackboard. A note should be provided in the comments field on Blackboard to indicate where the documents for the deliverable may be found (e.g., “The documents for this deliverable may be found in the docs/deliverable3 folder.”).</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77" w:name="__RefHeading___Toc1196_2234708029"/>
      <w:bookmarkStart w:id="78" w:name="_Toc510790921"/>
      <w:bookmarkEnd w:id="77"/>
      <w:r>
        <w:rPr/>
        <w:t>4. SCM Schedules</w:t>
      </w:r>
      <w:bookmarkEnd w:id="78"/>
      <w:r>
        <w:rPr/>
        <w:t xml:space="preserve"> </w:t>
      </w:r>
    </w:p>
    <w:p>
      <w:pPr>
        <w:pStyle w:val="Normal"/>
        <w:ind w:left="720" w:hanging="0"/>
        <w:rPr/>
      </w:pPr>
      <w:r>
        <w:rPr>
          <w:rFonts w:eastAsia="Times New Roman" w:cs="Times New Roman" w:ascii="Times New Roman" w:hAnsi="Times New Roman"/>
          <w:color w:val="000000" w:themeColor="text1"/>
        </w:rPr>
        <w:t xml:space="preserve">This section establishes the sequence and coordination for the identified SCM activities in section 3 and for all events affecting the implementation of this document. It states the sequence and dependencies among all SCM activities and the relationship of key SCM activities to project milestones or events. </w:t>
      </w:r>
    </w:p>
    <w:p>
      <w:pPr>
        <w:pStyle w:val="Normal"/>
        <w:ind w:left="720" w:hanging="0"/>
        <w:rPr>
          <w:color w:val="000000" w:themeColor="text1"/>
        </w:rPr>
      </w:pPr>
      <w:r>
        <w:rPr>
          <w:rFonts w:eastAsia="Times New Roman" w:cs="Times New Roman" w:ascii="Times New Roman" w:hAnsi="Times New Roman"/>
          <w:color w:val="000000" w:themeColor="text1"/>
        </w:rPr>
        <w:t>This section is in effect as of 1 April 2018.</w:t>
      </w:r>
    </w:p>
    <w:p>
      <w:pPr>
        <w:pStyle w:val="Head2"/>
        <w:rPr/>
      </w:pPr>
      <w:bookmarkStart w:id="79" w:name="__RefHeading___Toc1198_2234708029"/>
      <w:bookmarkStart w:id="80" w:name="_Toc510790922"/>
      <w:bookmarkEnd w:id="79"/>
      <w:r>
        <w:rPr/>
        <w:t>4.1 Milestone End Dates</w:t>
      </w:r>
      <w:bookmarkEnd w:id="80"/>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 (Sprint 1) – 26 January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2) – 23 February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3) – 9 March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 – 2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5) – 14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4 (Sprint 6) – 10 May 2018</w:t>
      </w:r>
    </w:p>
    <w:p>
      <w:pPr>
        <w:pStyle w:val="Head2"/>
        <w:rPr/>
      </w:pPr>
      <w:bookmarkStart w:id="81" w:name="__RefHeading___Toc1200_2234708029"/>
      <w:bookmarkStart w:id="82" w:name="_Toc510790923"/>
      <w:bookmarkEnd w:id="81"/>
      <w:r>
        <w:rPr/>
        <w:t>4.2 Activity Schedules</w:t>
      </w:r>
      <w:bookmarkEnd w:id="82"/>
    </w:p>
    <w:p>
      <w:pPr>
        <w:pStyle w:val="Normal"/>
        <w:ind w:left="1440" w:hanging="0"/>
        <w:rPr>
          <w:rFonts w:ascii="Times New Roman" w:hAnsi="Times New Roman" w:eastAsia="Times New Roman" w:cs="Times New Roman"/>
          <w:i/>
          <w:i/>
          <w:iCs/>
          <w:color w:val="000000" w:themeColor="text1"/>
        </w:rPr>
      </w:pPr>
      <w:r>
        <w:rPr>
          <w:rFonts w:eastAsia="Times New Roman" w:cs="Times New Roman" w:ascii="Times New Roman" w:hAnsi="Times New Roman"/>
          <w:i/>
          <w:iCs/>
          <w:color w:val="000000" w:themeColor="text1"/>
        </w:rPr>
        <w:t>Beginning of Each Milestone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1. Establish configuration baselines</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Initialize deliverable documents with appropriate filenames and content which conforms to past structure.</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sets priority of tasks for deliverable. Scrum Master and Product Owner negotiate on final priority of tasks for the deliverable.</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2. Implement change control procedures (optional)</w:t>
      </w:r>
    </w:p>
    <w:p>
      <w:pPr>
        <w:pStyle w:val="Normal"/>
        <w:numPr>
          <w:ilvl w:val="0"/>
          <w:numId w:val="6"/>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3.1.</w:t>
      </w:r>
    </w:p>
    <w:p>
      <w:pPr>
        <w:pStyle w:val="Normal"/>
        <w:ind w:left="1440" w:hanging="0"/>
        <w:rPr>
          <w:rFonts w:ascii="Times New Roman" w:hAnsi="Times New Roman" w:eastAsia="Times New Roman" w:cs="Times New Roman"/>
          <w:i/>
          <w:i/>
          <w:iCs/>
          <w:color w:val="000000" w:themeColor="text1"/>
        </w:rPr>
      </w:pPr>
      <w:r>
        <w:rPr>
          <w:rFonts w:eastAsia="Times New Roman" w:cs="Times New Roman" w:ascii="Times New Roman" w:hAnsi="Times New Roman"/>
          <w:i/>
          <w:iCs/>
          <w:color w:val="000000" w:themeColor="text1"/>
        </w:rPr>
        <w:t>End of Each Milestone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1. Start and end configuration audit</w:t>
      </w:r>
    </w:p>
    <w:p>
      <w:pPr>
        <w:pStyle w:val="Normal"/>
        <w:numPr>
          <w:ilvl w:val="0"/>
          <w:numId w:val="7"/>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3.4.</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2. Establish team member roles for next deliverable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3. Release deliverable</w:t>
      </w:r>
    </w:p>
    <w:p>
      <w:pPr>
        <w:pStyle w:val="Normal"/>
        <w:numPr>
          <w:ilvl w:val="0"/>
          <w:numId w:val="8"/>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3.7.</w:t>
      </w:r>
      <w:r>
        <w:br w:type="page"/>
      </w:r>
    </w:p>
    <w:p>
      <w:pPr>
        <w:pStyle w:val="Head1"/>
        <w:rPr/>
      </w:pPr>
      <w:bookmarkStart w:id="83" w:name="__RefHeading___Toc1202_2234708029"/>
      <w:bookmarkStart w:id="84" w:name="_Toc510790924"/>
      <w:bookmarkEnd w:id="83"/>
      <w:r>
        <w:rPr/>
        <w:t>5. SCM Resources</w:t>
      </w:r>
      <w:bookmarkEnd w:id="84"/>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identifies the environment, infrastructure, software tools, techniques, equipment, personnel, and training necessary for the implementation of the specified SCM activities. </w:t>
      </w:r>
    </w:p>
    <w:p>
      <w:pPr>
        <w:pStyle w:val="Head2"/>
        <w:rPr/>
      </w:pPr>
      <w:bookmarkStart w:id="85" w:name="__RefHeading___Toc1204_2234708029"/>
      <w:bookmarkStart w:id="86" w:name="_Toc510790925"/>
      <w:bookmarkEnd w:id="85"/>
      <w:r>
        <w:rPr/>
        <w:t>5.1 Environment, infrastructure, tools, techniques, equipment, personnel, and training</w:t>
      </w:r>
      <w:bookmarkEnd w:id="86"/>
    </w:p>
    <w:p>
      <w:pPr>
        <w:pStyle w:val="Normal"/>
        <w:ind w:left="1440" w:hanging="0"/>
        <w:rPr/>
      </w:pPr>
      <w:r>
        <w:rPr>
          <w:rFonts w:eastAsia="Times New Roman" w:cs="Times New Roman" w:ascii="Times New Roman" w:hAnsi="Times New Roman"/>
          <w:color w:val="000000" w:themeColor="text1"/>
        </w:rPr>
        <w:t>Development Environment: Android Studio 3.1</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Version Control: Git</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Management Repository: GitHub</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Issue Tracking Repository: ZenHub, Sprint Backlog</w:t>
      </w:r>
    </w:p>
    <w:p>
      <w:pPr>
        <w:pStyle w:val="Normal"/>
        <w:ind w:left="1440" w:hanging="0"/>
        <w:rPr/>
      </w:pPr>
      <w:r>
        <w:rPr>
          <w:rFonts w:eastAsia="Times New Roman" w:cs="Times New Roman" w:ascii="Times New Roman" w:hAnsi="Times New Roman"/>
          <w:color w:val="000000" w:themeColor="text1"/>
        </w:rPr>
        <w:t>Build Management: Gradle</w:t>
      </w:r>
    </w:p>
    <w:p>
      <w:pPr>
        <w:pStyle w:val="Normal"/>
        <w:ind w:left="1440" w:hanging="0"/>
        <w:rPr/>
      </w:pPr>
      <w:r>
        <w:rPr>
          <w:rFonts w:eastAsia="Times New Roman" w:cs="Times New Roman" w:ascii="Times New Roman" w:hAnsi="Times New Roman"/>
          <w:color w:val="000000" w:themeColor="text1"/>
        </w:rPr>
        <w:t>Documentation: LibreOffice, Google Docs, and Microsoft Office word processing and spreadsheet software</w:t>
      </w:r>
    </w:p>
    <w:p>
      <w:pPr>
        <w:pStyle w:val="Head3"/>
        <w:rPr/>
      </w:pPr>
      <w:bookmarkStart w:id="87" w:name="__RefHeading___Toc1206_2234708029"/>
      <w:bookmarkStart w:id="88" w:name="_Toc510790926"/>
      <w:bookmarkEnd w:id="87"/>
      <w:r>
        <w:rPr/>
        <w:t>5.1.1 Configuration identification</w:t>
      </w:r>
      <w:bookmarkEnd w:id="88"/>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This activity primarily depends on the merge conflict detection features of Git and GitHub. Development team members should identify conflicts and breakages based on the output of these tools, and may subsequently trigger the activation of this activity. All team members should be trained in the proper use of Git and GitHub, and on how to identify and respond to merge conflicts. All team members are expected to have an internet connection. Other tools may be used to facilitate communication during this activity, such as text messaging or email.</w:t>
      </w:r>
    </w:p>
    <w:p>
      <w:pPr>
        <w:pStyle w:val="Head3"/>
        <w:rPr/>
      </w:pPr>
      <w:bookmarkStart w:id="89" w:name="__RefHeading___Toc1208_2234708029"/>
      <w:bookmarkStart w:id="90" w:name="_Toc510790927"/>
      <w:bookmarkEnd w:id="89"/>
      <w:r>
        <w:rPr/>
        <w:t>5.1.2 Configuration control</w:t>
      </w:r>
      <w:bookmarkEnd w:id="90"/>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Standard communication (text messaging, email) and development tools (text editor, IDE) are used to perform this activity. No special training is presumed necessary.</w:t>
      </w:r>
    </w:p>
    <w:p>
      <w:pPr>
        <w:pStyle w:val="Head3"/>
        <w:rPr/>
      </w:pPr>
      <w:bookmarkStart w:id="91" w:name="__RefHeading___Toc1210_2234708029"/>
      <w:bookmarkStart w:id="92" w:name="_Toc510790928"/>
      <w:bookmarkEnd w:id="91"/>
      <w:r>
        <w:rPr/>
        <w:t>5.1.3 Configuration status accounting</w:t>
      </w:r>
      <w:bookmarkEnd w:id="92"/>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 xml:space="preserve">This activity requires the use of GitHub’s issue tracking features and an internet connection. Team members should be trained in the proper identification of the statuses of issues within GitHub. Team members should also have the ZenHub browser extension and be familiar with the use of Kanban boards. </w:t>
      </w:r>
    </w:p>
    <w:p>
      <w:pPr>
        <w:pStyle w:val="Head3"/>
        <w:rPr/>
      </w:pPr>
      <w:bookmarkStart w:id="93" w:name="__RefHeading___Toc1212_2234708029"/>
      <w:bookmarkStart w:id="94" w:name="_Toc510790929"/>
      <w:bookmarkEnd w:id="93"/>
      <w:r>
        <w:rPr/>
        <w:t>5.1.4 Configuration evaluation and reviews</w:t>
      </w:r>
      <w:bookmarkEnd w:id="94"/>
    </w:p>
    <w:p>
      <w:pPr>
        <w:pStyle w:val="Normal"/>
        <w:ind w:left="2160" w:hanging="0"/>
        <w:rPr/>
      </w:pPr>
      <w:r>
        <w:rPr>
          <w:rFonts w:eastAsia="Times New Roman" w:cs="Times New Roman" w:ascii="Times New Roman" w:hAnsi="Times New Roman"/>
          <w:color w:val="000000" w:themeColor="text1"/>
        </w:rPr>
        <w:t>Team members must review initial requirements as specified in the project requirements documents which have been provided to all team members. These documents are in PDF format and require a PDF reader. Team members must also have word processing software capable of opening .docx files in order to perform review and correction on editable documents. Team members must have a Git client capable of pulling the latest revisions of documents from the GitHub repository. Team members should be trained in proper use of Git, including pulling, committing, and pushing to repositories.</w:t>
      </w:r>
      <w:r>
        <w:br w:type="page"/>
      </w:r>
    </w:p>
    <w:p>
      <w:pPr>
        <w:pStyle w:val="Head3"/>
        <w:rPr/>
      </w:pPr>
      <w:bookmarkStart w:id="95" w:name="__RefHeading___Toc1214_2234708029"/>
      <w:bookmarkStart w:id="96" w:name="_Toc510790930"/>
      <w:bookmarkEnd w:id="95"/>
      <w:r>
        <w:rPr/>
        <w:t>5.1.5 Interface Control</w:t>
      </w:r>
      <w:bookmarkEnd w:id="96"/>
    </w:p>
    <w:p>
      <w:pPr>
        <w:pStyle w:val="Normal"/>
        <w:ind w:left="2160" w:hanging="0"/>
        <w:rPr>
          <w:color w:val="000000" w:themeColor="text1"/>
        </w:rPr>
      </w:pPr>
      <w:r>
        <w:rPr>
          <w:rFonts w:eastAsia="Times New Roman" w:cs="Times New Roman" w:ascii="Times New Roman" w:hAnsi="Times New Roman"/>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pPr>
        <w:pStyle w:val="Head3"/>
        <w:rPr/>
      </w:pPr>
      <w:bookmarkStart w:id="97" w:name="__RefHeading___Toc1216_2234708029"/>
      <w:bookmarkStart w:id="98" w:name="_Toc510790931"/>
      <w:bookmarkEnd w:id="97"/>
      <w:r>
        <w:rPr/>
        <w:t>5.1.6 Subcontractor/vendor control</w:t>
      </w:r>
      <w:bookmarkEnd w:id="98"/>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rPr>
        <w:t>No tools, techniques, equipment, personnel, or training are required for this SCM activity, as this activity will not be performed.</w:t>
      </w:r>
    </w:p>
    <w:p>
      <w:pPr>
        <w:pStyle w:val="Head3"/>
        <w:rPr/>
      </w:pPr>
      <w:bookmarkStart w:id="99" w:name="__RefHeading___Toc1218_2234708029"/>
      <w:bookmarkStart w:id="100" w:name="_Toc510790932"/>
      <w:bookmarkEnd w:id="99"/>
      <w:r>
        <w:rPr/>
        <w:t>5.1.7 Release Management and Delivery</w:t>
      </w:r>
      <w:bookmarkEnd w:id="100"/>
    </w:p>
    <w:p>
      <w:pPr>
        <w:pStyle w:val="Normal"/>
        <w:ind w:left="2160" w:hanging="0"/>
        <w:rPr>
          <w:color w:val="000000" w:themeColor="text1"/>
        </w:rPr>
      </w:pPr>
      <w:r>
        <w:rPr>
          <w:rFonts w:eastAsia="Times New Roman" w:cs="Times New Roman" w:ascii="Times New Roman" w:hAnsi="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 familiarity with Git. Delivery also involves archiving the repository for project submission, and thus should be performed with a tool capable of creating ZIP archives by a member familiar with how to archive folders. Submission is performed on BlackBoard and requires a modern web browser. All activities presume an internet connection.</w:t>
      </w:r>
    </w:p>
    <w:p>
      <w:pPr>
        <w:pStyle w:val="Head2"/>
        <w:rPr/>
      </w:pPr>
      <w:bookmarkStart w:id="101" w:name="__RefHeading___Toc1220_2234708029"/>
      <w:bookmarkStart w:id="102" w:name="_Toc510790933"/>
      <w:bookmarkEnd w:id="101"/>
      <w:r>
        <w:rPr/>
        <w:t>5.2 Key factors for infrastructure:</w:t>
      </w:r>
      <w:bookmarkEnd w:id="102"/>
      <w:r>
        <w:rPr/>
        <w:t xml:space="preserve"> </w:t>
      </w:r>
    </w:p>
    <w:p>
      <w:pPr>
        <w:pStyle w:val="Normal"/>
        <w:ind w:left="1440" w:hanging="0"/>
        <w:rPr/>
      </w:pPr>
      <w:r>
        <w:rPr>
          <w:rFonts w:eastAsia="Times New Roman" w:cs="Times New Roman" w:ascii="Times New Roman" w:hAnsi="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pPr>
        <w:pStyle w:val="Normal"/>
        <w:ind w:left="1440" w:hanging="0"/>
        <w:rPr>
          <w:color w:val="000000" w:themeColor="text1"/>
        </w:rPr>
      </w:pPr>
      <w:r>
        <w:rPr>
          <w:rFonts w:eastAsia="Times New Roman" w:cs="Times New Roman" w:ascii="Times New Roman" w:hAnsi="Times New Roman"/>
          <w:color w:val="000000" w:themeColor="text1"/>
        </w:rPr>
        <w:t>Functionality: Tools identified in 5.1 must provide at least the minimum functionality to perform the activities identified in Section 3.</w:t>
      </w:r>
    </w:p>
    <w:p>
      <w:pPr>
        <w:pStyle w:val="Normal"/>
        <w:ind w:left="1440" w:hanging="0"/>
        <w:rPr>
          <w:color w:val="000000" w:themeColor="text1"/>
        </w:rPr>
      </w:pPr>
      <w:r>
        <w:rPr>
          <w:rFonts w:eastAsia="Times New Roman" w:cs="Times New Roman" w:ascii="Times New Roman" w:hAnsi="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connections.</w:t>
      </w:r>
    </w:p>
    <w:p>
      <w:pPr>
        <w:pStyle w:val="Normal"/>
        <w:ind w:left="1440" w:hanging="0"/>
        <w:rPr>
          <w:color w:val="000000" w:themeColor="text1"/>
        </w:rPr>
      </w:pPr>
      <w:r>
        <w:rPr>
          <w:rFonts w:eastAsia="Times New Roman" w:cs="Times New Roman" w:ascii="Times New Roman" w:hAnsi="Times New Roman"/>
          <w:color w:val="000000" w:themeColor="text1"/>
        </w:rPr>
        <w:t>Safety: No special safety requirements have been identified for infrastructure at this time.</w:t>
      </w:r>
    </w:p>
    <w:p>
      <w:pPr>
        <w:pStyle w:val="Normal"/>
        <w:ind w:left="1440" w:hanging="0"/>
        <w:rPr>
          <w:color w:val="000000" w:themeColor="text1"/>
        </w:rPr>
      </w:pPr>
      <w:r>
        <w:rPr>
          <w:rFonts w:eastAsia="Times New Roman" w:cs="Times New Roman" w:ascii="Times New Roman" w:hAnsi="Times New Roman"/>
          <w:color w:val="000000" w:themeColor="text1"/>
        </w:rPr>
        <w:t>Security: No special security requirements have been identified for infrastructure at this time.</w:t>
      </w:r>
    </w:p>
    <w:p>
      <w:pPr>
        <w:pStyle w:val="Normal"/>
        <w:ind w:left="1440" w:hanging="0"/>
        <w:rPr>
          <w:color w:val="000000" w:themeColor="text1"/>
        </w:rPr>
      </w:pPr>
      <w:r>
        <w:rPr>
          <w:rFonts w:eastAsia="Times New Roman" w:cs="Times New Roman" w:ascii="Times New Roman" w:hAnsi="Times New Roman"/>
          <w:color w:val="000000" w:themeColor="text1"/>
        </w:rPr>
        <w:t>Availability: All tools must either be installed to development team devices or be persistent online. Availability must be 99% to facilitate round-the-clock development.</w:t>
      </w:r>
    </w:p>
    <w:p>
      <w:pPr>
        <w:pStyle w:val="Normal"/>
        <w:ind w:left="1440" w:hanging="0"/>
        <w:rPr>
          <w:color w:val="000000" w:themeColor="text1"/>
        </w:rPr>
      </w:pPr>
      <w:r>
        <w:rPr>
          <w:rFonts w:eastAsia="Times New Roman" w:cs="Times New Roman" w:ascii="Times New Roman" w:hAnsi="Times New Roman"/>
          <w:color w:val="000000" w:themeColor="text1"/>
        </w:rPr>
        <w:t>Space Requirements: All activities occur in virtual space and are presumed to not require any physical space. Team members must carry development devices small enough that six team members may comfortably share a table during face-to-face meetings.</w:t>
      </w:r>
    </w:p>
    <w:p>
      <w:pPr>
        <w:pStyle w:val="Normal"/>
        <w:ind w:left="1440" w:hanging="0"/>
        <w:rPr>
          <w:color w:val="000000" w:themeColor="text1"/>
        </w:rPr>
      </w:pPr>
      <w:r>
        <w:rPr>
          <w:rFonts w:eastAsia="Times New Roman" w:cs="Times New Roman" w:ascii="Times New Roman" w:hAnsi="Times New Roman"/>
          <w:color w:val="000000" w:themeColor="text1"/>
        </w:rPr>
        <w:t>Equipment Costs: Infrastructure must be accessible to team members within the budget of an average college student in the United States. Tools and resources which are free are preferred.</w:t>
      </w:r>
    </w:p>
    <w:p>
      <w:pPr>
        <w:pStyle w:val="Normal"/>
        <w:ind w:left="1440" w:hanging="0"/>
        <w:rPr/>
      </w:pPr>
      <w:r>
        <w:rPr>
          <w:rFonts w:eastAsia="Times New Roman" w:cs="Times New Roman" w:ascii="Times New Roman" w:hAnsi="Times New Roman"/>
          <w:color w:val="000000" w:themeColor="text1"/>
        </w:rPr>
        <w:t>Time Constraints: All implementation and documentation must be completed by Deliverable 4 deadline. Tools must be available in order to facilitate compliance with this deadline.</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bookmarkStart w:id="103" w:name="__RefHeading___Toc1222_2234708029"/>
      <w:bookmarkStart w:id="104" w:name="_Toc510790934"/>
      <w:bookmarkEnd w:id="103"/>
      <w:r>
        <w:rPr/>
        <w:t>6. SCM Plan Maintenance</w:t>
      </w:r>
      <w:bookmarkEnd w:id="104"/>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pPr>
        <w:pStyle w:val="Normal"/>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880" w:hanging="360"/>
      </w:pPr>
      <w:rPr>
        <w:rFonts w:ascii="Wingdings" w:hAnsi="Wingdings" w:cs="Wingdings" w:hint="default"/>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3">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4">
    <w:lvl w:ilvl="0">
      <w:start w:val="1"/>
      <w:numFmt w:val="bullet"/>
      <w:lvlText w:val=""/>
      <w:lvlJc w:val="left"/>
      <w:pPr>
        <w:ind w:left="2880" w:hanging="360"/>
      </w:pPr>
      <w:rPr>
        <w:rFonts w:ascii="Wingdings" w:hAnsi="Wingdings" w:cs="Wingdings" w:hint="default"/>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5">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6">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7">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8">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1"/>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02b96"/>
    <w:rPr>
      <w:color w:val="0000FF" w:themeColor="hyperlink"/>
      <w:u w:val="single"/>
    </w:rPr>
  </w:style>
  <w:style w:type="character" w:styleId="BalloonTextChar" w:customStyle="1">
    <w:name w:val="Balloon Text Char"/>
    <w:basedOn w:val="DefaultParagraphFont"/>
    <w:link w:val="BalloonText"/>
    <w:uiPriority w:val="99"/>
    <w:semiHidden/>
    <w:qFormat/>
    <w:rsid w:val="00e1068e"/>
    <w:rPr>
      <w:rFonts w:ascii="Times New Roman" w:hAnsi="Times New Roman" w:cs="Times New Roman"/>
      <w:sz w:val="18"/>
      <w:szCs w:val="18"/>
    </w:rPr>
  </w:style>
  <w:style w:type="character" w:styleId="ListLabel1" w:customStyle="1">
    <w:name w:val="ListLabel 1"/>
    <w:qFormat/>
    <w:rPr>
      <w:rFonts w:ascii="Times New Roman" w:hAnsi="Times New Roman"/>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ascii="Times New Roman" w:hAnsi="Times New Roman"/>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eastAsia="Times New Roman" w:cs="Times New Roman"/>
      <w:color w:val="000000" w:themeColor="text1"/>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8">
    <w:name w:val="ListLabel 38"/>
    <w:qFormat/>
    <w:rPr>
      <w:rFonts w:ascii="Times New Roman" w:hAnsi="Times New Roman"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ascii="Times New Roman" w:hAnsi="Times New Roman"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ascii="Times New Roman" w:hAnsi="Times New Roman"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ascii="Times New Roman" w:hAnsi="Times New Roman"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ascii="Times New Roman" w:hAnsi="Times New Roman"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eastAsia="Calibri"/>
    </w:rPr>
  </w:style>
  <w:style w:type="character" w:styleId="ListLabel111">
    <w:name w:val="ListLabel 111"/>
    <w:qFormat/>
    <w:rPr>
      <w:rFonts w:ascii="Times New Roman" w:hAnsi="Times New Roman"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rFonts w:cs="Wingdings"/>
      <w:u w:val="none"/>
    </w:rPr>
  </w:style>
  <w:style w:type="character" w:styleId="ListLabel115">
    <w:name w:val="ListLabel 115"/>
    <w:qFormat/>
    <w:rPr>
      <w:rFonts w:cs="Wingdings 2"/>
      <w:u w:val="none"/>
    </w:rPr>
  </w:style>
  <w:style w:type="character" w:styleId="ListLabel116">
    <w:name w:val="ListLabel 116"/>
    <w:qFormat/>
    <w:rPr>
      <w:rFonts w:cs="OpenSymbol"/>
      <w:u w:val="none"/>
    </w:rPr>
  </w:style>
  <w:style w:type="character" w:styleId="ListLabel117">
    <w:name w:val="ListLabel 117"/>
    <w:qFormat/>
    <w:rPr>
      <w:rFonts w:cs="Wingdings"/>
      <w:u w:val="none"/>
    </w:rPr>
  </w:style>
  <w:style w:type="character" w:styleId="ListLabel118">
    <w:name w:val="ListLabel 118"/>
    <w:qFormat/>
    <w:rPr>
      <w:rFonts w:cs="Wingdings 2"/>
      <w:u w:val="none"/>
    </w:rPr>
  </w:style>
  <w:style w:type="character" w:styleId="ListLabel119">
    <w:name w:val="ListLabel 119"/>
    <w:qFormat/>
    <w:rPr>
      <w:rFonts w:cs="OpenSymbol"/>
      <w:u w:val="none"/>
    </w:rPr>
  </w:style>
  <w:style w:type="character" w:styleId="ListLabel120">
    <w:name w:val="ListLabel 120"/>
    <w:qFormat/>
    <w:rPr>
      <w:rFonts w:ascii="Times New Roman" w:hAnsi="Times New Roman"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ascii="Times New Roman" w:hAnsi="Times New Roman"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rFonts w:ascii="Times New Roman" w:hAnsi="Times New Roman" w:cs="Wingdings"/>
      <w:u w:val="none"/>
    </w:rPr>
  </w:style>
  <w:style w:type="character" w:styleId="ListLabel139">
    <w:name w:val="ListLabel 139"/>
    <w:qFormat/>
    <w:rPr>
      <w:rFonts w:cs="Wingdings 2"/>
      <w:u w:val="none"/>
    </w:rPr>
  </w:style>
  <w:style w:type="character" w:styleId="ListLabel140">
    <w:name w:val="ListLabel 140"/>
    <w:qFormat/>
    <w:rPr>
      <w:rFonts w:cs="OpenSymbol"/>
      <w:u w:val="none"/>
    </w:rPr>
  </w:style>
  <w:style w:type="character" w:styleId="ListLabel141">
    <w:name w:val="ListLabel 141"/>
    <w:qFormat/>
    <w:rPr>
      <w:rFonts w:cs="Wingdings"/>
      <w:u w:val="none"/>
    </w:rPr>
  </w:style>
  <w:style w:type="character" w:styleId="ListLabel142">
    <w:name w:val="ListLabel 142"/>
    <w:qFormat/>
    <w:rPr>
      <w:rFonts w:cs="Wingdings 2"/>
      <w:u w:val="none"/>
    </w:rPr>
  </w:style>
  <w:style w:type="character" w:styleId="ListLabel143">
    <w:name w:val="ListLabel 143"/>
    <w:qFormat/>
    <w:rPr>
      <w:rFonts w:cs="OpenSymbol"/>
      <w:u w:val="none"/>
    </w:rPr>
  </w:style>
  <w:style w:type="character" w:styleId="ListLabel144">
    <w:name w:val="ListLabel 144"/>
    <w:qFormat/>
    <w:rPr>
      <w:rFonts w:cs="Wingdings"/>
      <w:u w:val="none"/>
    </w:rPr>
  </w:style>
  <w:style w:type="character" w:styleId="ListLabel145">
    <w:name w:val="ListLabel 145"/>
    <w:qFormat/>
    <w:rPr>
      <w:rFonts w:cs="Wingdings 2"/>
      <w:u w:val="none"/>
    </w:rPr>
  </w:style>
  <w:style w:type="character" w:styleId="ListLabel146">
    <w:name w:val="ListLabel 146"/>
    <w:qFormat/>
    <w:rPr>
      <w:rFonts w:cs="OpenSymbol"/>
      <w:u w:val="none"/>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eastAsia="Calibri"/>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9557d5"/>
    <w:pPr>
      <w:spacing w:lineRule="auto" w:line="276" w:before="480" w:after="0"/>
    </w:pPr>
    <w:rPr>
      <w:rFonts w:ascii="Calibri" w:hAnsi="Calibri" w:eastAsia="" w:cs="" w:asciiTheme="majorHAnsi" w:cstheme="majorBidi" w:eastAsiaTheme="majorEastAsia" w:hAnsiTheme="majorHAnsi"/>
      <w:bCs/>
      <w:color w:val="365F91" w:themeColor="accent1" w:themeShade="bf"/>
      <w:sz w:val="28"/>
      <w:szCs w:val="28"/>
    </w:rPr>
  </w:style>
  <w:style w:type="paragraph" w:styleId="Head1" w:customStyle="1">
    <w:name w:val="Head 1"/>
    <w:basedOn w:val="Normal"/>
    <w:qFormat/>
    <w:rsid w:val="009557d5"/>
    <w:pPr/>
    <w:rPr>
      <w:rFonts w:ascii="Times New Roman" w:hAnsi="Times New Roman" w:eastAsia="Times New Roman" w:cs="Times New Roman"/>
      <w:b/>
      <w:color w:val="000000" w:themeColor="text1"/>
    </w:rPr>
  </w:style>
  <w:style w:type="paragraph" w:styleId="Head2" w:customStyle="1">
    <w:name w:val="Head 2"/>
    <w:basedOn w:val="Normal"/>
    <w:qFormat/>
    <w:rsid w:val="009557d5"/>
    <w:pPr>
      <w:ind w:left="720" w:hanging="0"/>
    </w:pPr>
    <w:rPr>
      <w:rFonts w:ascii="Times New Roman" w:hAnsi="Times New Roman" w:eastAsia="Times New Roman" w:cs="Times New Roman"/>
      <w:color w:val="000000" w:themeColor="text1"/>
      <w:u w:val="single"/>
    </w:rPr>
  </w:style>
  <w:style w:type="paragraph" w:styleId="Head3" w:customStyle="1">
    <w:name w:val="Head 3"/>
    <w:basedOn w:val="Normal"/>
    <w:qFormat/>
    <w:rsid w:val="009557d5"/>
    <w:pPr>
      <w:ind w:left="1440" w:hanging="0"/>
    </w:pPr>
    <w:rPr>
      <w:rFonts w:ascii="Times New Roman" w:hAnsi="Times New Roman" w:eastAsia="Times New Roman" w:cs="Times New Roman"/>
      <w:i/>
      <w:color w:val="000000" w:themeColor="text1"/>
    </w:rPr>
  </w:style>
  <w:style w:type="paragraph" w:styleId="Contents2">
    <w:name w:val="TOC 2"/>
    <w:basedOn w:val="Normal"/>
    <w:next w:val="Normal"/>
    <w:autoRedefine/>
    <w:uiPriority w:val="39"/>
    <w:unhideWhenUsed/>
    <w:rsid w:val="006b4b89"/>
    <w:pPr>
      <w:spacing w:before="0" w:after="100"/>
      <w:ind w:left="220" w:hanging="0"/>
    </w:pPr>
    <w:rPr/>
  </w:style>
  <w:style w:type="paragraph" w:styleId="Contents1">
    <w:name w:val="TOC 1"/>
    <w:basedOn w:val="Normal"/>
    <w:next w:val="Normal"/>
    <w:autoRedefine/>
    <w:uiPriority w:val="39"/>
    <w:unhideWhenUsed/>
    <w:rsid w:val="006b4b89"/>
    <w:pPr>
      <w:spacing w:before="0" w:after="100"/>
    </w:pPr>
    <w:rPr/>
  </w:style>
  <w:style w:type="paragraph" w:styleId="Contents3">
    <w:name w:val="TOC 3"/>
    <w:basedOn w:val="Normal"/>
    <w:next w:val="Normal"/>
    <w:autoRedefine/>
    <w:uiPriority w:val="39"/>
    <w:unhideWhenUsed/>
    <w:rsid w:val="006b4b89"/>
    <w:pPr>
      <w:spacing w:before="0" w:after="100"/>
      <w:ind w:left="440" w:hanging="0"/>
    </w:pPr>
    <w:rPr/>
  </w:style>
  <w:style w:type="paragraph" w:styleId="BalloonText">
    <w:name w:val="Balloon Text"/>
    <w:basedOn w:val="Normal"/>
    <w:link w:val="BalloonTextChar"/>
    <w:uiPriority w:val="99"/>
    <w:semiHidden/>
    <w:unhideWhenUsed/>
    <w:qFormat/>
    <w:rsid w:val="00e1068e"/>
    <w:pPr>
      <w:spacing w:lineRule="auto" w:line="240" w:before="0" w:after="0"/>
    </w:pPr>
    <w:rPr>
      <w:rFonts w:ascii="Times New Roman" w:hAnsi="Times New Roman" w:cs="Times New Roman"/>
      <w:sz w:val="18"/>
      <w:szCs w:val="18"/>
    </w:rPr>
  </w:style>
  <w:style w:type="paragraph" w:styleId="TableContents" w:customStyle="1">
    <w:name w:val="Table Contents"/>
    <w:basedOn w:val="Normal"/>
    <w:qFormat/>
    <w:pPr>
      <w:suppressLineNumbers/>
    </w:pPr>
    <w:rPr/>
  </w:style>
  <w:style w:type="paragraph" w:styleId="Head4" w:customStyle="1">
    <w:name w:val="Head 4"/>
    <w:basedOn w:val="Normal"/>
    <w:qFormat/>
    <w:rsid w:val="00302b96"/>
    <w:pPr>
      <w:ind w:left="2880" w:hanging="0"/>
    </w:pPr>
    <w:rPr>
      <w:rFonts w:ascii="Times New Roman" w:hAnsi="Times New Roman" w:eastAsia="Times New Roman" w:cs="Times New Roman"/>
      <w:i/>
      <w:iCs/>
      <w:color w:val="000000" w:themeColor="text1"/>
    </w:rPr>
  </w:style>
  <w:style w:type="paragraph" w:styleId="Contents4">
    <w:name w:val="TOC 4"/>
    <w:basedOn w:val="Normal"/>
    <w:next w:val="Normal"/>
    <w:autoRedefine/>
    <w:uiPriority w:val="39"/>
    <w:unhideWhenUsed/>
    <w:rsid w:val="00302b96"/>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aluminiumi/RaiderNA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0EB47-400D-2346-B2ED-0DF48E0A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LibreOffice/6.0.3.2$Linux_X86_64 LibreOffice_project/00m0$Build-2</Application>
  <Pages>18</Pages>
  <Words>3848</Words>
  <Characters>22042</Characters>
  <CharactersWithSpaces>25560</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2018-04-06T20:15:00Z</dcterms:created>
  <dc:creator>Williams, Brody</dc:creator>
  <dc:description/>
  <dc:language>en-US</dc:language>
  <cp:lastModifiedBy/>
  <cp:lastPrinted>2018-04-06T20:15:00Z</cp:lastPrinted>
  <dcterms:modified xsi:type="dcterms:W3CDTF">2018-04-28T21:02:33Z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