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7A88B" w14:textId="49D9CC9B" w:rsidR="008714CC" w:rsidRDefault="00DB4A35" w:rsidP="00C453B3">
      <w:pPr>
        <w:jc w:val="center"/>
        <w:rPr>
          <w:b/>
          <w:bCs/>
          <w:sz w:val="52"/>
          <w:szCs w:val="52"/>
        </w:rPr>
      </w:pPr>
      <w:r>
        <w:rPr>
          <w:b/>
          <w:bCs/>
          <w:sz w:val="52"/>
          <w:szCs w:val="52"/>
        </w:rPr>
        <w:t>Modeling Report</w:t>
      </w:r>
    </w:p>
    <w:p w14:paraId="4D4155B2" w14:textId="42AF1702" w:rsidR="00341CFD" w:rsidRPr="00341CFD" w:rsidRDefault="00341CFD" w:rsidP="00341CFD">
      <w:r w:rsidRPr="00341CFD">
        <w:t xml:space="preserve">This analysis evaluated the maximum centralized AI/data-center load that the Greensboro distribution system can support and the resilience resources required to maintain that load during an outage. The core grid-capacity assessment began with a </w:t>
      </w:r>
      <w:r w:rsidRPr="00341CFD">
        <w:rPr>
          <w:b/>
          <w:bCs/>
        </w:rPr>
        <w:t>five-minute thermal hosting model</w:t>
      </w:r>
      <w:r w:rsidRPr="00341CFD">
        <w:t xml:space="preserve"> using 2024 feeder-breaker SCADA, distribution topology, equipment ratings, and meter-based spatial load allocation. Candidate sites were traced through their energized source paths, and at every five-minute interval the model calculated the remaining thermal headroom of each path element. Candidate hosting capacity was defined by the </w:t>
      </w:r>
      <w:r w:rsidRPr="00341CFD">
        <w:rPr>
          <w:b/>
          <w:bCs/>
        </w:rPr>
        <w:t>most restrictive element at each interval</w:t>
      </w:r>
      <w:r w:rsidRPr="00341CFD">
        <w:t xml:space="preserve">, and firm hosting was then set by the </w:t>
      </w:r>
      <w:r w:rsidRPr="00341CFD">
        <w:rPr>
          <w:b/>
          <w:bCs/>
        </w:rPr>
        <w:t>worst interval across essentially the full 2024 operating year</w:t>
      </w:r>
      <w:r w:rsidRPr="00341CFD">
        <w:t>. This approach is important because the selected data-center size is not based on an average load, a single peak, or an ideal operating day; it must remain within modeled equipment thermal limits during low-load periods, normal conditions, seasonal peaks, and the most restrictive observed operating condition</w:t>
      </w:r>
      <w:r>
        <w:t xml:space="preserve"> to maintain reliability</w:t>
      </w:r>
      <w:r w:rsidRPr="00341CFD">
        <w:t>.</w:t>
      </w:r>
    </w:p>
    <w:p w14:paraId="5E815CC9" w14:textId="77777777" w:rsidR="00341CFD" w:rsidRPr="00341CFD" w:rsidRDefault="00341CFD" w:rsidP="00341CFD">
      <w:r w:rsidRPr="00341CFD">
        <w:t xml:space="preserve">The thermal analysis identified </w:t>
      </w:r>
      <w:r w:rsidRPr="00341CFD">
        <w:rPr>
          <w:b/>
          <w:bCs/>
        </w:rPr>
        <w:t>GSO_122 at line_5852_22</w:t>
      </w:r>
      <w:r w:rsidRPr="00341CFD">
        <w:t xml:space="preserve"> with approximately </w:t>
      </w:r>
      <w:r w:rsidRPr="00341CFD">
        <w:rPr>
          <w:b/>
          <w:bCs/>
        </w:rPr>
        <w:t>13.51 MW of firm incremental feeder/path thermal hosting capacity</w:t>
      </w:r>
      <w:r w:rsidRPr="00341CFD">
        <w:t xml:space="preserve">. No baseline path-rating exceedance was identified, and line_5852_22 was the controlling thermal element. This means that, within the modeled feeder/path scope and observed 2024 operating conditions, </w:t>
      </w:r>
      <w:r w:rsidRPr="00341CFD">
        <w:rPr>
          <w:b/>
          <w:bCs/>
        </w:rPr>
        <w:t>13.51 MW can be added continuously without exceeding the thermal ratings used by the model, even during the historical interval with the least available headroom</w:t>
      </w:r>
      <w:r w:rsidRPr="00341CFD">
        <w:t xml:space="preserve">. Additional planning sensitivities produced approximately </w:t>
      </w:r>
      <w:r w:rsidRPr="00341CFD">
        <w:rPr>
          <w:b/>
          <w:bCs/>
        </w:rPr>
        <w:t>12.16 MW at a 90% utilization limit</w:t>
      </w:r>
      <w:r w:rsidRPr="00341CFD">
        <w:t xml:space="preserve"> and </w:t>
      </w:r>
      <w:r w:rsidRPr="00341CFD">
        <w:rPr>
          <w:b/>
          <w:bCs/>
        </w:rPr>
        <w:t>10.81 MW at 80%</w:t>
      </w:r>
      <w:r w:rsidRPr="00341CFD">
        <w:t>, with GSO_122 remaining the preferred location. The 13.51 MW result is therefore the maximum modeled thermal design basis, while the lower sensitivities provide optional additional operating margin. Upstream substation-bank capacity, voltage/reactive-power behavior, protection requirements, and final interconnection approval still require utility engineering verification.</w:t>
      </w:r>
    </w:p>
    <w:p w14:paraId="23D18408" w14:textId="77777777" w:rsidR="00341CFD" w:rsidRPr="00341CFD" w:rsidRDefault="00341CFD" w:rsidP="00341CFD">
      <w:r w:rsidRPr="00341CFD">
        <w:rPr>
          <w:b/>
          <w:bCs/>
        </w:rPr>
        <w:t>MILP 1 converts this thermal analysis into a siting decision.</w:t>
      </w:r>
      <w:r w:rsidRPr="00341CFD">
        <w:t xml:space="preserve"> Rather than simply reporting which individual feeder locations have available capacity, the optimization requires one centralized data center, applies the validated candidate hosting constraints, gives no unverified capacity credit to batteries, PV, or other resources, and maximizes the amount of new data-center load that can be connected. MILP 1 retained </w:t>
      </w:r>
      <w:r w:rsidRPr="00341CFD">
        <w:rPr>
          <w:b/>
          <w:bCs/>
        </w:rPr>
        <w:t>GSO_122 / line_5852_22 at 13.51 MW</w:t>
      </w:r>
      <w:r w:rsidRPr="00341CFD">
        <w:t xml:space="preserve">, demonstrating that this site provides the largest modeled centralized load opportunity among the final evaluated candidates under existing-system constraints. In practical compute terms, 13.51 MW of facility load corresponds to approximately </w:t>
      </w:r>
      <w:r w:rsidRPr="00341CFD">
        <w:rPr>
          <w:b/>
          <w:bCs/>
        </w:rPr>
        <w:t>10.4–11.3 MW of IT power</w:t>
      </w:r>
      <w:r w:rsidRPr="00341CFD">
        <w:t xml:space="preserve"> at a representative PUE of 1.3–1.2. If </w:t>
      </w:r>
      <w:r w:rsidRPr="00341CFD">
        <w:lastRenderedPageBreak/>
        <w:t xml:space="preserve">approximately 70–80% of IT power were dedicated to 700 W-class AI accelerators, this is roughly </w:t>
      </w:r>
      <w:r w:rsidRPr="00341CFD">
        <w:rPr>
          <w:b/>
          <w:bCs/>
        </w:rPr>
        <w:t>10,000–13,000 GPUs</w:t>
      </w:r>
      <w:r w:rsidRPr="00341CFD">
        <w:t>, although actual accelerator count and computational throughput depend on server architecture, CPU/network/storage loads, GPU generation, and operating utilization.</w:t>
      </w:r>
    </w:p>
    <w:p w14:paraId="37C2E7CC" w14:textId="77777777" w:rsidR="00341CFD" w:rsidRPr="00341CFD" w:rsidRDefault="00341CFD" w:rsidP="00341CFD">
      <w:r w:rsidRPr="00341CFD">
        <w:rPr>
          <w:b/>
          <w:bCs/>
        </w:rPr>
        <w:t>MILP 2</w:t>
      </w:r>
      <w:r w:rsidRPr="00341CFD">
        <w:t xml:space="preserve"> then held the site and 13.51 MW load fixed and sized battery energy storage for outage resilience. The nominal deterministic requirement for four hours of 100% service was </w:t>
      </w:r>
      <w:r w:rsidRPr="00341CFD">
        <w:rPr>
          <w:b/>
          <w:bCs/>
        </w:rPr>
        <w:t>13.51 MW / 71.10 MWh</w:t>
      </w:r>
      <w:r w:rsidRPr="00341CFD">
        <w:t>. Solar PV was also modeled using historical Greensboro solar availability, with PV serving load directly and excess production allowed to recharge the battery. PV improved daytime resilience but did not reduce the guaranteed worst-case storage requirement because the controlling outage periods occurred at night; PV is therefore treated as supplemental rather than firm backup capacity.</w:t>
      </w:r>
    </w:p>
    <w:p w14:paraId="4B433C20" w14:textId="77777777" w:rsidR="00341CFD" w:rsidRPr="00341CFD" w:rsidRDefault="00341CFD" w:rsidP="00341CFD">
      <w:r w:rsidRPr="00341CFD">
        <w:t xml:space="preserve">Finally, the BESS design was stress-tested using </w:t>
      </w:r>
      <w:r w:rsidRPr="00341CFD">
        <w:rPr>
          <w:b/>
          <w:bCs/>
        </w:rPr>
        <w:t>Monte Carlo simulation</w:t>
      </w:r>
      <w:r w:rsidRPr="00341CFD">
        <w:t xml:space="preserve">, varying starting state of charge, battery derating, charge/discharge efficiency, PCS availability, outage timing, and historical solar conditions. The nominal 71.10 MWh system proved to have insufficient uncertainty margin, so BESS power and energy were systematically increased and retested. Local refinement and final verification used </w:t>
      </w:r>
      <w:r w:rsidRPr="00341CFD">
        <w:rPr>
          <w:b/>
          <w:bCs/>
        </w:rPr>
        <w:t>300,000 simulations per shortlisted design across three independent random seeds</w:t>
      </w:r>
      <w:r w:rsidRPr="00341CFD">
        <w:t xml:space="preserve">, with the lower bound of a 95% Wilson confidence interval required to exceed the reliability target. The final </w:t>
      </w:r>
      <w:r w:rsidRPr="00341CFD">
        <w:rPr>
          <w:b/>
          <w:bCs/>
        </w:rPr>
        <w:t>99% four-hour design basis is 14.25 MW / 91.72 MWh</w:t>
      </w:r>
      <w:r w:rsidRPr="00341CFD">
        <w:t xml:space="preserve">, achieving </w:t>
      </w:r>
      <w:r w:rsidRPr="00341CFD">
        <w:rPr>
          <w:b/>
          <w:bCs/>
        </w:rPr>
        <w:t>99.11% simulated success with a 99.08% lower confidence bound</w:t>
      </w:r>
      <w:r w:rsidRPr="00341CFD">
        <w:t xml:space="preserve">. A higher-reliability alternative of </w:t>
      </w:r>
      <w:r w:rsidRPr="00341CFD">
        <w:rPr>
          <w:b/>
          <w:bCs/>
        </w:rPr>
        <w:t>14.46 MW / 95.28 MWh</w:t>
      </w:r>
      <w:r w:rsidRPr="00341CFD">
        <w:t xml:space="preserve"> achieved </w:t>
      </w:r>
      <w:r w:rsidRPr="00341CFD">
        <w:rPr>
          <w:b/>
          <w:bCs/>
        </w:rPr>
        <w:t>99.92% simulated success</w:t>
      </w:r>
      <w:r w:rsidRPr="00341CFD">
        <w:t xml:space="preserve">, with a </w:t>
      </w:r>
      <w:r w:rsidRPr="00341CFD">
        <w:rPr>
          <w:b/>
          <w:bCs/>
        </w:rPr>
        <w:t>99.91% lower confidence bound</w:t>
      </w:r>
      <w:r w:rsidRPr="00341CFD">
        <w:t>, exceeding the 99.9% target.</w:t>
      </w:r>
    </w:p>
    <w:p w14:paraId="6D66683F" w14:textId="77777777" w:rsidR="00341CFD" w:rsidRPr="00341CFD" w:rsidRDefault="00341CFD" w:rsidP="00341CFD">
      <w:r w:rsidRPr="00341CFD">
        <w:rPr>
          <w:b/>
          <w:bCs/>
        </w:rPr>
        <w:t>Final recommendation:</w:t>
      </w:r>
      <w:r w:rsidRPr="00341CFD">
        <w:t xml:space="preserve"> use </w:t>
      </w:r>
      <w:r w:rsidRPr="00341CFD">
        <w:rPr>
          <w:b/>
          <w:bCs/>
        </w:rPr>
        <w:t>GSO_122 / line_5852_22 for a 13.51 MW centralized AI data center</w:t>
      </w:r>
      <w:r w:rsidRPr="00341CFD">
        <w:t xml:space="preserve">, paired with approximately </w:t>
      </w:r>
      <w:r w:rsidRPr="00341CFD">
        <w:rPr>
          <w:b/>
          <w:bCs/>
        </w:rPr>
        <w:t>14.25 MW / 91.72 MWh of BESS</w:t>
      </w:r>
      <w:r w:rsidRPr="00341CFD">
        <w:t xml:space="preserve"> for a four-hour, 99%-reliability design basis, subject to final upstream source and utility interconnection validation.</w:t>
      </w:r>
    </w:p>
    <w:p w14:paraId="3421B87C" w14:textId="0C0F97DB" w:rsidR="00C453B3" w:rsidRPr="00C453B3" w:rsidRDefault="00C453B3" w:rsidP="00341CFD"/>
    <w:sectPr w:rsidR="00C453B3" w:rsidRPr="00C453B3">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C0871" w14:textId="77777777" w:rsidR="00FF3D6F" w:rsidRDefault="00FF3D6F" w:rsidP="00DB4A35">
      <w:pPr>
        <w:spacing w:after="0" w:line="240" w:lineRule="auto"/>
      </w:pPr>
      <w:r>
        <w:separator/>
      </w:r>
    </w:p>
  </w:endnote>
  <w:endnote w:type="continuationSeparator" w:id="0">
    <w:p w14:paraId="607B2890" w14:textId="77777777" w:rsidR="00FF3D6F" w:rsidRDefault="00FF3D6F" w:rsidP="00DB4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952A7" w14:textId="77777777" w:rsidR="00FF3D6F" w:rsidRDefault="00FF3D6F" w:rsidP="00DB4A35">
      <w:pPr>
        <w:spacing w:after="0" w:line="240" w:lineRule="auto"/>
      </w:pPr>
      <w:r>
        <w:separator/>
      </w:r>
    </w:p>
  </w:footnote>
  <w:footnote w:type="continuationSeparator" w:id="0">
    <w:p w14:paraId="784CEF07" w14:textId="77777777" w:rsidR="00FF3D6F" w:rsidRDefault="00FF3D6F" w:rsidP="00DB4A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EE452" w14:textId="3B9447A4" w:rsidR="00DB4A35" w:rsidRDefault="00DB4A35">
    <w:pPr>
      <w:pStyle w:val="Header"/>
    </w:pPr>
    <w:r>
      <w:rPr>
        <w:noProof/>
      </w:rPr>
      <mc:AlternateContent>
        <mc:Choice Requires="wps">
          <w:drawing>
            <wp:anchor distT="0" distB="0" distL="0" distR="0" simplePos="0" relativeHeight="251659264" behindDoc="0" locked="0" layoutInCell="1" allowOverlap="1" wp14:anchorId="428D2F93" wp14:editId="68603BE7">
              <wp:simplePos x="635" y="635"/>
              <wp:positionH relativeFrom="page">
                <wp:align>right</wp:align>
              </wp:positionH>
              <wp:positionV relativeFrom="page">
                <wp:align>top</wp:align>
              </wp:positionV>
              <wp:extent cx="1709420" cy="405765"/>
              <wp:effectExtent l="0" t="0" r="0" b="13335"/>
              <wp:wrapNone/>
              <wp:docPr id="600129484" name="Text Box 2" descr="LIMITED DISCLOSUR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09420" cy="405765"/>
                      </a:xfrm>
                      <a:prstGeom prst="rect">
                        <a:avLst/>
                      </a:prstGeom>
                      <a:noFill/>
                      <a:ln>
                        <a:noFill/>
                      </a:ln>
                    </wps:spPr>
                    <wps:txbx>
                      <w:txbxContent>
                        <w:p w14:paraId="7606F5C3" w14:textId="040F2584" w:rsidR="00DB4A35" w:rsidRPr="00DB4A35" w:rsidRDefault="00DB4A35" w:rsidP="00DB4A35">
                          <w:pPr>
                            <w:spacing w:after="0"/>
                            <w:rPr>
                              <w:rFonts w:ascii="Aptos" w:eastAsia="Aptos" w:hAnsi="Aptos" w:cs="Aptos"/>
                              <w:noProof/>
                              <w:color w:val="000000"/>
                            </w:rPr>
                          </w:pPr>
                          <w:r w:rsidRPr="00DB4A35">
                            <w:rPr>
                              <w:rFonts w:ascii="Aptos" w:eastAsia="Aptos" w:hAnsi="Aptos" w:cs="Aptos"/>
                              <w:noProof/>
                              <w:color w:val="000000"/>
                            </w:rPr>
                            <w:t>LIMITED DISCLOSURE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28D2F93" id="_x0000_t202" coordsize="21600,21600" o:spt="202" path="m,l,21600r21600,l21600,xe">
              <v:stroke joinstyle="miter"/>
              <v:path gradientshapeok="t" o:connecttype="rect"/>
            </v:shapetype>
            <v:shape id="Text Box 2" o:spid="_x0000_s1026" type="#_x0000_t202" alt="LIMITED DISCLOSURE" style="position:absolute;margin-left:83.4pt;margin-top:0;width:134.6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" filled="f" stroked="f">
              <v:fill o:detectmouseclick="t"/>
              <v:textbox style="mso-fit-shape-to-text:t" inset="0,15pt,20pt,0">
                <w:txbxContent>
                  <w:p w14:paraId="7606F5C3" w14:textId="040F2584" w:rsidR="00DB4A35" w:rsidRPr="00DB4A35" w:rsidRDefault="00DB4A35" w:rsidP="00DB4A35">
                    <w:pPr>
                      <w:spacing w:after="0"/>
                      <w:rPr>
                        <w:rFonts w:ascii="Aptos" w:eastAsia="Aptos" w:hAnsi="Aptos" w:cs="Aptos"/>
                        <w:noProof/>
                        <w:color w:val="000000"/>
                      </w:rPr>
                    </w:pPr>
                    <w:r w:rsidRPr="00DB4A35">
                      <w:rPr>
                        <w:rFonts w:ascii="Aptos" w:eastAsia="Aptos" w:hAnsi="Aptos" w:cs="Aptos"/>
                        <w:noProof/>
                        <w:color w:val="000000"/>
                      </w:rPr>
                      <w:t>LIMITED DISCLOSURE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031C3" w14:textId="0F0C45AA" w:rsidR="00DB4A35" w:rsidRDefault="00DB4A35">
    <w:pPr>
      <w:pStyle w:val="Header"/>
    </w:pPr>
    <w:r>
      <w:rPr>
        <w:noProof/>
      </w:rPr>
      <mc:AlternateContent>
        <mc:Choice Requires="wps">
          <w:drawing>
            <wp:anchor distT="0" distB="0" distL="0" distR="0" simplePos="0" relativeHeight="251660288" behindDoc="0" locked="0" layoutInCell="1" allowOverlap="1" wp14:anchorId="64D93F95" wp14:editId="541CB47B">
              <wp:simplePos x="914400" y="457200"/>
              <wp:positionH relativeFrom="page">
                <wp:align>right</wp:align>
              </wp:positionH>
              <wp:positionV relativeFrom="page">
                <wp:align>top</wp:align>
              </wp:positionV>
              <wp:extent cx="1709420" cy="405765"/>
              <wp:effectExtent l="0" t="0" r="0" b="13335"/>
              <wp:wrapNone/>
              <wp:docPr id="1911888458" name="Text Box 3" descr="LIMITED DISCLOSUR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09420" cy="405765"/>
                      </a:xfrm>
                      <a:prstGeom prst="rect">
                        <a:avLst/>
                      </a:prstGeom>
                      <a:noFill/>
                      <a:ln>
                        <a:noFill/>
                      </a:ln>
                    </wps:spPr>
                    <wps:txbx>
                      <w:txbxContent>
                        <w:p w14:paraId="5DDBF67F" w14:textId="5A8C4632" w:rsidR="00DB4A35" w:rsidRPr="00DB4A35" w:rsidRDefault="00DB4A35" w:rsidP="00DB4A35">
                          <w:pPr>
                            <w:spacing w:after="0"/>
                            <w:rPr>
                              <w:rFonts w:ascii="Aptos" w:eastAsia="Aptos" w:hAnsi="Aptos" w:cs="Aptos"/>
                              <w:noProof/>
                              <w:color w:val="000000"/>
                            </w:rPr>
                          </w:pPr>
                          <w:r w:rsidRPr="00DB4A35">
                            <w:rPr>
                              <w:rFonts w:ascii="Aptos" w:eastAsia="Aptos" w:hAnsi="Aptos" w:cs="Aptos"/>
                              <w:noProof/>
                              <w:color w:val="000000"/>
                            </w:rPr>
                            <w:t>LIMITED DISCLOSURE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4D93F95" id="_x0000_t202" coordsize="21600,21600" o:spt="202" path="m,l,21600r21600,l21600,xe">
              <v:stroke joinstyle="miter"/>
              <v:path gradientshapeok="t" o:connecttype="rect"/>
            </v:shapetype>
            <v:shape id="Text Box 3" o:spid="_x0000_s1027" type="#_x0000_t202" alt="LIMITED DISCLOSURE" style="position:absolute;margin-left:83.4pt;margin-top:0;width:134.6pt;height:31.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" filled="f" stroked="f">
              <v:fill o:detectmouseclick="t"/>
              <v:textbox style="mso-fit-shape-to-text:t" inset="0,15pt,20pt,0">
                <w:txbxContent>
                  <w:p w14:paraId="5DDBF67F" w14:textId="5A8C4632" w:rsidR="00DB4A35" w:rsidRPr="00DB4A35" w:rsidRDefault="00DB4A35" w:rsidP="00DB4A35">
                    <w:pPr>
                      <w:spacing w:after="0"/>
                      <w:rPr>
                        <w:rFonts w:ascii="Aptos" w:eastAsia="Aptos" w:hAnsi="Aptos" w:cs="Aptos"/>
                        <w:noProof/>
                        <w:color w:val="000000"/>
                      </w:rPr>
                    </w:pPr>
                    <w:r w:rsidRPr="00DB4A35">
                      <w:rPr>
                        <w:rFonts w:ascii="Aptos" w:eastAsia="Aptos" w:hAnsi="Aptos" w:cs="Aptos"/>
                        <w:noProof/>
                        <w:color w:val="000000"/>
                      </w:rPr>
                      <w:t>LIMITED DISCLOSURE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DB1C4" w14:textId="0B11949C" w:rsidR="00DB4A35" w:rsidRDefault="00DB4A35">
    <w:pPr>
      <w:pStyle w:val="Header"/>
    </w:pPr>
    <w:r>
      <w:rPr>
        <w:noProof/>
      </w:rPr>
      <mc:AlternateContent>
        <mc:Choice Requires="wps">
          <w:drawing>
            <wp:anchor distT="0" distB="0" distL="0" distR="0" simplePos="0" relativeHeight="251658240" behindDoc="0" locked="0" layoutInCell="1" allowOverlap="1" wp14:anchorId="3C7ECABC" wp14:editId="321768BB">
              <wp:simplePos x="635" y="635"/>
              <wp:positionH relativeFrom="page">
                <wp:align>right</wp:align>
              </wp:positionH>
              <wp:positionV relativeFrom="page">
                <wp:align>top</wp:align>
              </wp:positionV>
              <wp:extent cx="1709420" cy="405765"/>
              <wp:effectExtent l="0" t="0" r="0" b="13335"/>
              <wp:wrapNone/>
              <wp:docPr id="41123037" name="Text Box 1" descr="LIMITED DISCLOSUR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09420" cy="405765"/>
                      </a:xfrm>
                      <a:prstGeom prst="rect">
                        <a:avLst/>
                      </a:prstGeom>
                      <a:noFill/>
                      <a:ln>
                        <a:noFill/>
                      </a:ln>
                    </wps:spPr>
                    <wps:txbx>
                      <w:txbxContent>
                        <w:p w14:paraId="3E7B100C" w14:textId="122378AD" w:rsidR="00DB4A35" w:rsidRPr="00DB4A35" w:rsidRDefault="00DB4A35" w:rsidP="00DB4A35">
                          <w:pPr>
                            <w:spacing w:after="0"/>
                            <w:rPr>
                              <w:rFonts w:ascii="Aptos" w:eastAsia="Aptos" w:hAnsi="Aptos" w:cs="Aptos"/>
                              <w:noProof/>
                              <w:color w:val="000000"/>
                            </w:rPr>
                          </w:pPr>
                          <w:r w:rsidRPr="00DB4A35">
                            <w:rPr>
                              <w:rFonts w:ascii="Aptos" w:eastAsia="Aptos" w:hAnsi="Aptos" w:cs="Aptos"/>
                              <w:noProof/>
                              <w:color w:val="000000"/>
                            </w:rPr>
                            <w:t>LIMITED DISCLOSURE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C7ECABC" id="_x0000_t202" coordsize="21600,21600" o:spt="202" path="m,l,21600r21600,l21600,xe">
              <v:stroke joinstyle="miter"/>
              <v:path gradientshapeok="t" o:connecttype="rect"/>
            </v:shapetype>
            <v:shape id="Text Box 1" o:spid="_x0000_s1028" type="#_x0000_t202" alt="LIMITED DISCLOSURE" style="position:absolute;margin-left:83.4pt;margin-top:0;width:134.6pt;height:31.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" filled="f" stroked="f">
              <v:fill o:detectmouseclick="t"/>
              <v:textbox style="mso-fit-shape-to-text:t" inset="0,15pt,20pt,0">
                <w:txbxContent>
                  <w:p w14:paraId="3E7B100C" w14:textId="122378AD" w:rsidR="00DB4A35" w:rsidRPr="00DB4A35" w:rsidRDefault="00DB4A35" w:rsidP="00DB4A35">
                    <w:pPr>
                      <w:spacing w:after="0"/>
                      <w:rPr>
                        <w:rFonts w:ascii="Aptos" w:eastAsia="Aptos" w:hAnsi="Aptos" w:cs="Aptos"/>
                        <w:noProof/>
                        <w:color w:val="000000"/>
                      </w:rPr>
                    </w:pPr>
                    <w:r w:rsidRPr="00DB4A35">
                      <w:rPr>
                        <w:rFonts w:ascii="Aptos" w:eastAsia="Aptos" w:hAnsi="Aptos" w:cs="Aptos"/>
                        <w:noProof/>
                        <w:color w:val="000000"/>
                      </w:rPr>
                      <w:t>LIMITED DISCLOSURE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3B3"/>
    <w:rsid w:val="00341CFD"/>
    <w:rsid w:val="008714CC"/>
    <w:rsid w:val="008F3874"/>
    <w:rsid w:val="00C453B3"/>
    <w:rsid w:val="00DB4A35"/>
    <w:rsid w:val="00E13C59"/>
    <w:rsid w:val="00F84369"/>
    <w:rsid w:val="00FF3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5D10"/>
  <w15:chartTrackingRefBased/>
  <w15:docId w15:val="{F8E3A326-3E2E-442C-A457-9408D9595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3B3"/>
    <w:rPr>
      <w:rFonts w:eastAsiaTheme="majorEastAsia" w:cstheme="majorBidi"/>
      <w:color w:val="272727" w:themeColor="text1" w:themeTint="D8"/>
    </w:rPr>
  </w:style>
  <w:style w:type="paragraph" w:styleId="Title">
    <w:name w:val="Title"/>
    <w:basedOn w:val="Normal"/>
    <w:next w:val="Normal"/>
    <w:link w:val="TitleChar"/>
    <w:uiPriority w:val="10"/>
    <w:qFormat/>
    <w:rsid w:val="00C45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3B3"/>
    <w:pPr>
      <w:spacing w:before="160"/>
      <w:jc w:val="center"/>
    </w:pPr>
    <w:rPr>
      <w:i/>
      <w:iCs/>
      <w:color w:val="404040" w:themeColor="text1" w:themeTint="BF"/>
    </w:rPr>
  </w:style>
  <w:style w:type="character" w:customStyle="1" w:styleId="QuoteChar">
    <w:name w:val="Quote Char"/>
    <w:basedOn w:val="DefaultParagraphFont"/>
    <w:link w:val="Quote"/>
    <w:uiPriority w:val="29"/>
    <w:rsid w:val="00C453B3"/>
    <w:rPr>
      <w:i/>
      <w:iCs/>
      <w:color w:val="404040" w:themeColor="text1" w:themeTint="BF"/>
    </w:rPr>
  </w:style>
  <w:style w:type="paragraph" w:styleId="ListParagraph">
    <w:name w:val="List Paragraph"/>
    <w:basedOn w:val="Normal"/>
    <w:uiPriority w:val="34"/>
    <w:qFormat/>
    <w:rsid w:val="00C453B3"/>
    <w:pPr>
      <w:ind w:left="720"/>
      <w:contextualSpacing/>
    </w:pPr>
  </w:style>
  <w:style w:type="character" w:styleId="IntenseEmphasis">
    <w:name w:val="Intense Emphasis"/>
    <w:basedOn w:val="DefaultParagraphFont"/>
    <w:uiPriority w:val="21"/>
    <w:qFormat/>
    <w:rsid w:val="00C453B3"/>
    <w:rPr>
      <w:i/>
      <w:iCs/>
      <w:color w:val="0F4761" w:themeColor="accent1" w:themeShade="BF"/>
    </w:rPr>
  </w:style>
  <w:style w:type="paragraph" w:styleId="IntenseQuote">
    <w:name w:val="Intense Quote"/>
    <w:basedOn w:val="Normal"/>
    <w:next w:val="Normal"/>
    <w:link w:val="IntenseQuoteChar"/>
    <w:uiPriority w:val="30"/>
    <w:qFormat/>
    <w:rsid w:val="00C45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3B3"/>
    <w:rPr>
      <w:i/>
      <w:iCs/>
      <w:color w:val="0F4761" w:themeColor="accent1" w:themeShade="BF"/>
    </w:rPr>
  </w:style>
  <w:style w:type="character" w:styleId="IntenseReference">
    <w:name w:val="Intense Reference"/>
    <w:basedOn w:val="DefaultParagraphFont"/>
    <w:uiPriority w:val="32"/>
    <w:qFormat/>
    <w:rsid w:val="00C453B3"/>
    <w:rPr>
      <w:b/>
      <w:bCs/>
      <w:smallCaps/>
      <w:color w:val="0F4761" w:themeColor="accent1" w:themeShade="BF"/>
      <w:spacing w:val="5"/>
    </w:rPr>
  </w:style>
  <w:style w:type="paragraph" w:styleId="Header">
    <w:name w:val="header"/>
    <w:basedOn w:val="Normal"/>
    <w:link w:val="HeaderChar"/>
    <w:uiPriority w:val="99"/>
    <w:unhideWhenUsed/>
    <w:rsid w:val="00DB4A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A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BAD5B-498D-471B-8486-9EF5CA8BF262}">
  <ds:schemaRefs>
    <ds:schemaRef ds:uri="http://schemas.openxmlformats.org/officeDocument/2006/bibliography"/>
  </ds:schemaRefs>
</ds:datastoreItem>
</file>

<file path=docMetadata/LabelInfo.xml><?xml version="1.0" encoding="utf-8"?>
<clbl:labelList xmlns:clbl="http://schemas.microsoft.com/office/2020/mipLabelMetadata">
  <clbl:label id="{bb0f57b6-af0a-453f-849c-a6628ea4a90f}" enabled="1" method="Privileged" siteId="{02bdb17a-ec32-46d5-94b0-13327f5c783c}" contentBits="1" removed="0"/>
</clbl:labelList>
</file>

<file path=docProps/app.xml><?xml version="1.0" encoding="utf-8"?>
<Properties xmlns="http://schemas.openxmlformats.org/officeDocument/2006/extended-properties" xmlns:vt="http://schemas.openxmlformats.org/officeDocument/2006/docPropsVTypes">
  <Template>Normal</Template>
  <TotalTime>73</TotalTime>
  <Pages>2</Pages>
  <Words>694</Words>
  <Characters>4191</Characters>
  <Application>Microsoft Office Word</Application>
  <DocSecurity>0</DocSecurity>
  <Lines>59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 Lundy</dc:creator>
  <cp:keywords/>
  <dc:description/>
  <cp:lastModifiedBy>Alec Lundy</cp:lastModifiedBy>
  <cp:revision>1</cp:revision>
  <dcterms:created xsi:type="dcterms:W3CDTF">2026-09-28T17:26:00Z</dcterms:created>
  <dcterms:modified xsi:type="dcterms:W3CDTF">2026-09-28T18:40:00Z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2737cdd,23c53fcc,71f51a4a</vt:lpwstr>
  </property>
  <property fmtid="{D5CDD505-2E9C-101B-9397-08002B2CF9AE}" pid="3" name="ClassificationContentMarkingHeaderFontProps">
    <vt:lpwstr>#000000,12,Aptos</vt:lpwstr>
  </property>
  <property fmtid="{D5CDD505-2E9C-101B-9397-08002B2CF9AE}" pid="4" name="ClassificationContentMarkingHeaderText">
    <vt:lpwstr>LIMITED DISCLOSURE</vt:lpwstr>
  </property>
</Properties>
</file>