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1CF4" w14:textId="39BDC18C" w:rsidR="00DD63E2" w:rsidRDefault="00881269">
      <w:pPr>
        <w:pStyle w:val="Title"/>
        <w:jc w:val="center"/>
      </w:pPr>
      <w:r>
        <w:t>GSO</w:t>
      </w:r>
      <w:r w:rsidR="00824AA9">
        <w:t xml:space="preserve"> Data Center Optimization</w:t>
      </w:r>
    </w:p>
    <w:p w14:paraId="3B26ACF5" w14:textId="77777777" w:rsidR="00DD63E2" w:rsidRDefault="00824AA9">
      <w:pPr>
        <w:jc w:val="center"/>
      </w:pPr>
      <w:r>
        <w:rPr>
          <w:b/>
          <w:sz w:val="22"/>
        </w:rPr>
        <w:t>Current Project Walkthrough, Assumptions, and Math</w:t>
      </w:r>
    </w:p>
    <w:p w14:paraId="2B8299A6" w14:textId="77777777" w:rsidR="00DD63E2" w:rsidRDefault="00824AA9">
      <w:r>
        <w:rPr>
          <w:b/>
        </w:rPr>
        <w:t xml:space="preserve">Reference convention: </w:t>
      </w:r>
      <w:r>
        <w:t>Assumptions are referenced as [A#] and formulas/calculations as [M#]. These references point to the indexes later in this document.</w:t>
      </w:r>
    </w:p>
    <w:p w14:paraId="4C4D40D5" w14:textId="77777777" w:rsidR="00DD63E2" w:rsidRDefault="00824AA9">
      <w:pPr>
        <w:pStyle w:val="Heading1"/>
      </w:pPr>
      <w:r>
        <w:t>1. Project Walkthrough and Current Scripts</w:t>
      </w:r>
    </w:p>
    <w:p w14:paraId="4ABD08D0" w14:textId="77777777" w:rsidR="00DD63E2" w:rsidRDefault="00824AA9">
      <w:pPr>
        <w:pStyle w:val="Heading2"/>
      </w:pPr>
      <w:r>
        <w:t>1.1 Initial feeder and data screening</w:t>
      </w:r>
    </w:p>
    <w:p w14:paraId="510800CF" w14:textId="77777777" w:rsidR="00DD63E2" w:rsidRDefault="00824AA9">
      <w:r>
        <w:t>The project first used the Greensboro EDM to understand the feeder population, available equipment ratings, SCADA, meters, PV, EV, and network structure. The purpose was to determine whether the data were strong enough to support a physical hosting-capacity model and to narrow the search before running more detailed analysis. This stage established that equipment ratings and time-series load were usable, while also showing that summed transformer or breaker ratings could not simply be treated as system capa</w:t>
      </w:r>
      <w:r>
        <w:t>city [A6, A10; M1-M4]. It led to candidate-location screening and the validation scripts below.</w:t>
      </w:r>
    </w:p>
    <w:p w14:paraId="3B13D898" w14:textId="77777777" w:rsidR="00DD63E2" w:rsidRDefault="00824AA9">
      <w:pPr>
        <w:pStyle w:val="Heading2"/>
      </w:pPr>
      <w:r>
        <w:t>1.2 `breaker_capacity_audit.py`</w:t>
      </w:r>
    </w:p>
    <w:p w14:paraId="03691F6E" w14:textId="77777777" w:rsidR="00DD63E2" w:rsidRDefault="00824AA9">
      <w:r>
        <w:t>This validation script checked the breaker population, available breaker ratings, and breaker time-series coverage. We used it to confirm which breaker fields were actually populated and whether breaker SCADA could serve as the measured feeder-total load signal [A2, A7]. Its output showed that breaker kVA ratings and five-minute SCADA were usable, while some current-rating fields were not. That result supported using breakers as both a thermal constraint and the main feeder-total load reference in the later</w:t>
      </w:r>
      <w:r>
        <w:t xml:space="preserve"> thermal model [M3-M4].</w:t>
      </w:r>
    </w:p>
    <w:p w14:paraId="72E77B20" w14:textId="77777777" w:rsidR="00DD63E2" w:rsidRDefault="00824AA9">
      <w:pPr>
        <w:pStyle w:val="Heading2"/>
      </w:pPr>
      <w:r>
        <w:t>1.3 `meter_sums_vs_feeders.py`</w:t>
      </w:r>
    </w:p>
    <w:p w14:paraId="356B755C" w14:textId="77777777" w:rsidR="00DD63E2" w:rsidRDefault="00824AA9">
      <w:r>
        <w:t>This validation script compared the sum of meter load with breaker SCADA on the candidate feeders. The goal was to test whether meter profiles were reliable enough to describe where load sits on the feeder while still using the breaker as the total-load truth [A2-A3]. It calculated agreement measures such as correlation, normalized error, energy ratio, and mapping coverage, and the results were strong enough to support calibrated meter-based spatial allocation [M7-M8]. That decision became a core input to `</w:t>
      </w:r>
      <w:r>
        <w:t>thermal_model.py`.</w:t>
      </w:r>
    </w:p>
    <w:p w14:paraId="76821246" w14:textId="77777777" w:rsidR="00DD63E2" w:rsidRDefault="00824AA9">
      <w:pPr>
        <w:pStyle w:val="Heading2"/>
      </w:pPr>
      <w:r>
        <w:t>1.4 `location_screen.py`</w:t>
      </w:r>
    </w:p>
    <w:p w14:paraId="77040F0C" w14:textId="77777777" w:rsidR="00DD63E2" w:rsidRDefault="00824AA9">
      <w:r>
        <w:t>This script performs the pre-model candidate-location screening. It uses feeder topology, existing loading, and equipment ratings to identify locations that appear capable of supporting large additional data-center load before the full five-minute model is run [A5, A7-A8; M2-M6]. The output is a ranked set of candidate lines/locations, with higher-capacity candidates moved forward for detailed modeling. Its purpose is screening rather than final selection: it answers where detailed modeling effort should be</w:t>
      </w:r>
      <w:r>
        <w:t xml:space="preserve"> focused, not where the final data center must go.</w:t>
      </w:r>
    </w:p>
    <w:p w14:paraId="71C236DE" w14:textId="77777777" w:rsidR="00DD63E2" w:rsidRDefault="00824AA9">
      <w:pPr>
        <w:pStyle w:val="Heading2"/>
      </w:pPr>
      <w:r>
        <w:t>1.5 `thermal_model.py`</w:t>
      </w:r>
    </w:p>
    <w:p w14:paraId="42BFD810" w14:textId="77777777" w:rsidR="00DD63E2" w:rsidRDefault="00824AA9">
      <w:r>
        <w:t>This is the main physical feasibility model and is best described as a deterministic, graph-based, quasi-static time-series thermal hosting-capacity model. It uses five-minute breaker SCADA for total feeder loading, hourly meter data for spatial load shares, network topology for the source-to-candidate path, and equipment ratings as hard thermal constraints [A1-A9; M1-M10]. At each timestamp it finds the weakest remaining capacity on the candidate path, then summarizes the year into firm, 99%, 95%, and medi</w:t>
      </w:r>
      <w:r>
        <w:t>an hosting MW. Its output provides the defensible site-level capacity limits that the optimization model is allowed to use.</w:t>
      </w:r>
    </w:p>
    <w:p w14:paraId="54D0A990" w14:textId="77777777" w:rsidR="00DD63E2" w:rsidRDefault="00824AA9">
      <w:pPr>
        <w:pStyle w:val="Heading2"/>
      </w:pPr>
      <w:r>
        <w:t>1.6 `thermal_model_audit.py`</w:t>
      </w:r>
    </w:p>
    <w:p w14:paraId="6405EBA7" w14:textId="77777777" w:rsidR="00DD63E2" w:rsidRDefault="00824AA9">
      <w:r>
        <w:t>This audit resolves review flags from the thermal model before a candidate is passed into optimization. It checks whether network cycles affect the selected candidate path, whether unresolved meter mapping could materially change the result, whether candidate-path baseline overloads exist, and whether the ranking changes under the tested power-factor range [A1, A4-A5, A9]. The current candidate set passed these checks, which allowed the firm hosting values to be treated as optimization inputs rather than pr</w:t>
      </w:r>
      <w:r>
        <w:t>eliminary estimates. This script is a validation step rather than part of every routine model run.</w:t>
      </w:r>
    </w:p>
    <w:p w14:paraId="522E468D" w14:textId="77777777" w:rsidR="00DD63E2" w:rsidRDefault="00824AA9">
      <w:pPr>
        <w:pStyle w:val="Heading2"/>
      </w:pPr>
      <w:r>
        <w:t>1.7 `substation_milp_constraint.py`</w:t>
      </w:r>
    </w:p>
    <w:p w14:paraId="545563BE" w14:textId="77777777" w:rsidR="00DD63E2" w:rsidRDefault="00824AA9">
      <w:r>
        <w:t>This script reconstructs five-minute existing load for every modeled Greensboro substation by summing all feeder-breaker profiles that share the same substation enclosure. We wrote it because a candidate feeder may have substantial local thermal headroom while still sharing a limited upstream substation with other feeders, so the MILP needs coincident substation load rather than independent feeder peaks [A4, A10-A11; M11-M15]. It successfully modeled all 162 feeders across 28 substations and produced the ex</w:t>
      </w:r>
      <w:r>
        <w:t>isting coincident peak for each station. That completed the load side of the shared-substation constraint and left actual substation capacity as the remaining upstream input.</w:t>
      </w:r>
    </w:p>
    <w:p w14:paraId="6AE045AA" w14:textId="77777777" w:rsidR="00DD63E2" w:rsidRDefault="00824AA9">
      <w:pPr>
        <w:pStyle w:val="Heading2"/>
      </w:pPr>
      <w:r>
        <w:lastRenderedPageBreak/>
        <w:t>1.8 `substation_capacity_discovery.py`</w:t>
      </w:r>
    </w:p>
    <w:p w14:paraId="38DD7C33" w14:textId="77777777" w:rsidR="00DD63E2" w:rsidRDefault="00824AA9">
      <w:r>
        <w:t>This is the current capacity-evidence audit for the substations. It searches direct Substation metadata, enclosed equipment, explicit upstream/source relationships, connected equipment, and rating-like metadata for a defensible station capacity, but it does not manufacture capacity by summing nearby breaker or transformer ratings [A10, A19]. The output classifies any evidence by strength and surfaces possible kVA/MVA values for manual review. Its result determines whether the final MILP can use an EDM-suppo</w:t>
      </w:r>
      <w:r>
        <w:t>rted substation capacity or must use an external planning/scenario input.</w:t>
      </w:r>
    </w:p>
    <w:p w14:paraId="23F28AAB" w14:textId="77777777" w:rsidR="00DD63E2" w:rsidRDefault="00824AA9">
      <w:pPr>
        <w:pStyle w:val="Heading2"/>
      </w:pPr>
      <w:r>
        <w:t>1.9 `milp_v1.py`</w:t>
      </w:r>
    </w:p>
    <w:p w14:paraId="2ABE894E" w14:textId="77777777" w:rsidR="00DD63E2" w:rsidRDefault="00824AA9">
      <w:r>
        <w:t>This script is the first mixed-integer linear programming model built from the validated thermal-hosting results. It uses binary site-selection variables and continuous installed-MW variables, with each candidate capped by its firm hosting MW and with shared-substation constraints ready to activate when substation capacity is available [A12-A14; M16-M19]. The first run proved that the optimization architecture works, but it was initially written to explore multiple selected sites; the final version should e</w:t>
      </w:r>
      <w:r>
        <w:t>nforce one centralized data-center location because the current project assumes one physical data center [A15; M18]. MILP remains useful because it can choose the best single location while jointly sizing batteries, demand response, flexible compute, and other interventions under shared constraints.</w:t>
      </w:r>
    </w:p>
    <w:p w14:paraId="6AA63E3D" w14:textId="77777777" w:rsidR="00DD63E2" w:rsidRDefault="00824AA9">
      <w:pPr>
        <w:pStyle w:val="Heading2"/>
      </w:pPr>
      <w:r>
        <w:t>1.10 `p95_visuals.py`</w:t>
      </w:r>
    </w:p>
    <w:p w14:paraId="06AEA040" w14:textId="77777777" w:rsidR="00DD63E2" w:rsidRDefault="00824AA9">
      <w:r>
        <w:t>This script is a presentation/visualization layer for the hosting-capacity results rather than a new physical model. It is useful for showing how firm hosting compares with higher-percentile hosting and for communicating which sites have more non-firm flexibility available [M9-M10]. Those visuals help explain why a site with similar firm capacity may have more opportunity for batteries or flexible compute than another site. It should remain in the repo if those charts are part of the final dashboard or pres</w:t>
      </w:r>
      <w:r>
        <w:t>entation.</w:t>
      </w:r>
    </w:p>
    <w:p w14:paraId="61E6CC36" w14:textId="653B760A" w:rsidR="00DD63E2" w:rsidRDefault="00881269">
      <w:pPr>
        <w:pStyle w:val="Heading1"/>
      </w:pPr>
      <w:r>
        <w:t>2</w:t>
      </w:r>
      <w:r w:rsidR="00824AA9">
        <w:t>. Assumptions Index</w:t>
      </w:r>
    </w:p>
    <w:tbl>
      <w:tblPr>
        <w:tblStyle w:val="TableGrid"/>
        <w:tblW w:w="0" w:type="auto"/>
        <w:tblLook w:val="04A0" w:firstRow="1" w:lastRow="0" w:firstColumn="1" w:lastColumn="0" w:noHBand="0" w:noVBand="1"/>
      </w:tblPr>
      <w:tblGrid>
        <w:gridCol w:w="3450"/>
        <w:gridCol w:w="3452"/>
        <w:gridCol w:w="3456"/>
      </w:tblGrid>
      <w:tr w:rsidR="00DD63E2" w14:paraId="067816F6" w14:textId="77777777">
        <w:tc>
          <w:tcPr>
            <w:tcW w:w="3456" w:type="dxa"/>
          </w:tcPr>
          <w:p w14:paraId="6E350D87" w14:textId="77777777" w:rsidR="00DD63E2" w:rsidRDefault="00824AA9">
            <w:r>
              <w:t>Key</w:t>
            </w:r>
          </w:p>
        </w:tc>
        <w:tc>
          <w:tcPr>
            <w:tcW w:w="3456" w:type="dxa"/>
          </w:tcPr>
          <w:p w14:paraId="0454F30D" w14:textId="77777777" w:rsidR="00DD63E2" w:rsidRDefault="00824AA9">
            <w:r>
              <w:t>Assumption</w:t>
            </w:r>
          </w:p>
        </w:tc>
        <w:tc>
          <w:tcPr>
            <w:tcW w:w="3456" w:type="dxa"/>
          </w:tcPr>
          <w:p w14:paraId="49FCE8B4" w14:textId="77777777" w:rsidR="00DD63E2" w:rsidRDefault="00824AA9">
            <w:r>
              <w:t>Applies to / note</w:t>
            </w:r>
          </w:p>
        </w:tc>
      </w:tr>
      <w:tr w:rsidR="00DD63E2" w14:paraId="4E6752D5" w14:textId="77777777">
        <w:tc>
          <w:tcPr>
            <w:tcW w:w="3456" w:type="dxa"/>
            <w:vAlign w:val="center"/>
          </w:tcPr>
          <w:p w14:paraId="48159F7A" w14:textId="77777777" w:rsidR="00DD63E2" w:rsidRDefault="00824AA9">
            <w:r>
              <w:t>A1</w:t>
            </w:r>
          </w:p>
        </w:tc>
        <w:tc>
          <w:tcPr>
            <w:tcW w:w="3456" w:type="dxa"/>
            <w:vAlign w:val="center"/>
          </w:tcPr>
          <w:p w14:paraId="0093E96F" w14:textId="77777777" w:rsidR="00DD63E2" w:rsidRDefault="00824AA9">
            <w:r>
              <w:t>Power factor</w:t>
            </w:r>
          </w:p>
        </w:tc>
        <w:tc>
          <w:tcPr>
            <w:tcW w:w="3456" w:type="dxa"/>
            <w:vAlign w:val="center"/>
          </w:tcPr>
          <w:p w14:paraId="456F0032" w14:textId="77777777" w:rsidR="00DD63E2" w:rsidRDefault="00824AA9">
            <w:r>
              <w:t>PF = 0.95 is the base thermal case; 0.90 and 1.00 are sensitivity cases. Applies to line, transformer, breaker, and hosting calculations.</w:t>
            </w:r>
          </w:p>
        </w:tc>
      </w:tr>
      <w:tr w:rsidR="00DD63E2" w14:paraId="7F0050F2" w14:textId="77777777">
        <w:tc>
          <w:tcPr>
            <w:tcW w:w="3456" w:type="dxa"/>
            <w:vAlign w:val="center"/>
          </w:tcPr>
          <w:p w14:paraId="6CE1A46C" w14:textId="77777777" w:rsidR="00DD63E2" w:rsidRDefault="00824AA9">
            <w:r>
              <w:t>A2</w:t>
            </w:r>
          </w:p>
        </w:tc>
        <w:tc>
          <w:tcPr>
            <w:tcW w:w="3456" w:type="dxa"/>
            <w:vAlign w:val="center"/>
          </w:tcPr>
          <w:p w14:paraId="276DA46B" w14:textId="77777777" w:rsidR="00DD63E2" w:rsidRDefault="00824AA9">
            <w:r>
              <w:t>Breaker SCADA is feeder-total truth</w:t>
            </w:r>
          </w:p>
        </w:tc>
        <w:tc>
          <w:tcPr>
            <w:tcW w:w="3456" w:type="dxa"/>
            <w:vAlign w:val="center"/>
          </w:tcPr>
          <w:p w14:paraId="344966FA" w14:textId="77777777" w:rsidR="00DD63E2" w:rsidRDefault="00824AA9">
            <w:r>
              <w:t>Five-minute breaker kWh/MW is treated as the strongest available measured feeder-total load signal. Applies to meter validation, thermal modeling, and substation load reconstruction.</w:t>
            </w:r>
          </w:p>
        </w:tc>
      </w:tr>
      <w:tr w:rsidR="00DD63E2" w14:paraId="28A40B30" w14:textId="77777777">
        <w:tc>
          <w:tcPr>
            <w:tcW w:w="3456" w:type="dxa"/>
            <w:vAlign w:val="center"/>
          </w:tcPr>
          <w:p w14:paraId="4A2E42BC" w14:textId="77777777" w:rsidR="00DD63E2" w:rsidRDefault="00824AA9">
            <w:r>
              <w:t>A3</w:t>
            </w:r>
          </w:p>
        </w:tc>
        <w:tc>
          <w:tcPr>
            <w:tcW w:w="3456" w:type="dxa"/>
            <w:vAlign w:val="center"/>
          </w:tcPr>
          <w:p w14:paraId="6BC2F2A5" w14:textId="77777777" w:rsidR="00DD63E2" w:rsidRDefault="00824AA9">
            <w:r>
              <w:t>Meters provide spatial shape</w:t>
            </w:r>
          </w:p>
        </w:tc>
        <w:tc>
          <w:tcPr>
            <w:tcW w:w="3456" w:type="dxa"/>
            <w:vAlign w:val="center"/>
          </w:tcPr>
          <w:p w14:paraId="30E3A7AB" w14:textId="77777777" w:rsidR="00DD63E2" w:rsidRDefault="00824AA9">
            <w:r>
              <w:t>Hourly meter data allocate where feeder load is located but do not replace breaker total load. Applies to `meter_sums_vs_feeders.py` and `thermal_model.py`.</w:t>
            </w:r>
          </w:p>
        </w:tc>
      </w:tr>
      <w:tr w:rsidR="00DD63E2" w14:paraId="1AD40E9A" w14:textId="77777777">
        <w:tc>
          <w:tcPr>
            <w:tcW w:w="3456" w:type="dxa"/>
            <w:vAlign w:val="center"/>
          </w:tcPr>
          <w:p w14:paraId="384DEF87" w14:textId="77777777" w:rsidR="00DD63E2" w:rsidRDefault="00824AA9">
            <w:r>
              <w:t>A4</w:t>
            </w:r>
          </w:p>
        </w:tc>
        <w:tc>
          <w:tcPr>
            <w:tcW w:w="3456" w:type="dxa"/>
            <w:vAlign w:val="center"/>
          </w:tcPr>
          <w:p w14:paraId="20EAE5A3" w14:textId="77777777" w:rsidR="00DD63E2" w:rsidRDefault="00824AA9">
            <w:r>
              <w:t>Missing data are not zero</w:t>
            </w:r>
          </w:p>
        </w:tc>
        <w:tc>
          <w:tcPr>
            <w:tcW w:w="3456" w:type="dxa"/>
            <w:vAlign w:val="center"/>
          </w:tcPr>
          <w:p w14:paraId="6E785EA7" w14:textId="77777777" w:rsidR="00DD63E2" w:rsidRDefault="00824AA9">
            <w:r>
              <w:t>Short internal gaps may be interpolated within limits, but missing feeder/substation observations are not silently treated as zero. Applies to the thermal and substation time-series models.</w:t>
            </w:r>
          </w:p>
        </w:tc>
      </w:tr>
      <w:tr w:rsidR="00DD63E2" w14:paraId="667318E2" w14:textId="77777777">
        <w:tc>
          <w:tcPr>
            <w:tcW w:w="3456" w:type="dxa"/>
            <w:vAlign w:val="center"/>
          </w:tcPr>
          <w:p w14:paraId="5440ED01" w14:textId="77777777" w:rsidR="00DD63E2" w:rsidRDefault="00824AA9">
            <w:r>
              <w:t>A5</w:t>
            </w:r>
          </w:p>
        </w:tc>
        <w:tc>
          <w:tcPr>
            <w:tcW w:w="3456" w:type="dxa"/>
            <w:vAlign w:val="center"/>
          </w:tcPr>
          <w:p w14:paraId="59D12F01" w14:textId="77777777" w:rsidR="00DD63E2" w:rsidRDefault="00824AA9">
            <w:r>
              <w:t>Candidate topology must be defensible</w:t>
            </w:r>
          </w:p>
        </w:tc>
        <w:tc>
          <w:tcPr>
            <w:tcW w:w="3456" w:type="dxa"/>
            <w:vAlign w:val="center"/>
          </w:tcPr>
          <w:p w14:paraId="49052BEE" w14:textId="77777777" w:rsidR="00DD63E2" w:rsidRDefault="00824AA9">
            <w:r>
              <w:t>Open switches are excluded, and the selected candidate path must be unique or otherwise shown not to be affected by cycles. Applies to location screening and the thermal audit.</w:t>
            </w:r>
          </w:p>
        </w:tc>
      </w:tr>
      <w:tr w:rsidR="00DD63E2" w14:paraId="46532B45" w14:textId="77777777">
        <w:tc>
          <w:tcPr>
            <w:tcW w:w="3456" w:type="dxa"/>
            <w:vAlign w:val="center"/>
          </w:tcPr>
          <w:p w14:paraId="688E849E" w14:textId="77777777" w:rsidR="00DD63E2" w:rsidRDefault="00824AA9">
            <w:r>
              <w:t>A6</w:t>
            </w:r>
          </w:p>
        </w:tc>
        <w:tc>
          <w:tcPr>
            <w:tcW w:w="3456" w:type="dxa"/>
            <w:vAlign w:val="center"/>
          </w:tcPr>
          <w:p w14:paraId="3E829E87" w14:textId="77777777" w:rsidR="00DD63E2" w:rsidRDefault="00824AA9">
            <w:r>
              <w:t>No full AC power-flow claim</w:t>
            </w:r>
          </w:p>
        </w:tc>
        <w:tc>
          <w:tcPr>
            <w:tcW w:w="3456" w:type="dxa"/>
            <w:vAlign w:val="center"/>
          </w:tcPr>
          <w:p w14:paraId="340887EC" w14:textId="77777777" w:rsidR="00DD63E2" w:rsidRDefault="00824AA9">
            <w:r>
              <w:t>Line R/X and transformer impedance are not sufficiently available, so the project does not claim predictive voltage drop, losses, reactive-power flow, or full AC power-flow feasibility.</w:t>
            </w:r>
          </w:p>
        </w:tc>
      </w:tr>
      <w:tr w:rsidR="00DD63E2" w14:paraId="6096E9B1" w14:textId="77777777">
        <w:tc>
          <w:tcPr>
            <w:tcW w:w="3456" w:type="dxa"/>
            <w:vAlign w:val="center"/>
          </w:tcPr>
          <w:p w14:paraId="7FAFDB4A" w14:textId="77777777" w:rsidR="00DD63E2" w:rsidRDefault="00824AA9">
            <w:r>
              <w:lastRenderedPageBreak/>
              <w:t>A7</w:t>
            </w:r>
          </w:p>
        </w:tc>
        <w:tc>
          <w:tcPr>
            <w:tcW w:w="3456" w:type="dxa"/>
            <w:vAlign w:val="center"/>
          </w:tcPr>
          <w:p w14:paraId="187CB54C" w14:textId="77777777" w:rsidR="00DD63E2" w:rsidRDefault="00824AA9">
            <w:r>
              <w:t>EDM ratings are treated as thermal limits</w:t>
            </w:r>
          </w:p>
        </w:tc>
        <w:tc>
          <w:tcPr>
            <w:tcW w:w="3456" w:type="dxa"/>
            <w:vAlign w:val="center"/>
          </w:tcPr>
          <w:p w14:paraId="0343F191" w14:textId="77777777" w:rsidR="00DD63E2" w:rsidRDefault="00824AA9">
            <w:r>
              <w:t>Line `rating_a` and transformer/breaker `rating_kva` are treated as the modeled continuous thermal boundary unless better rating semantics are supplied.</w:t>
            </w:r>
          </w:p>
        </w:tc>
      </w:tr>
      <w:tr w:rsidR="00DD63E2" w14:paraId="11110226" w14:textId="77777777">
        <w:tc>
          <w:tcPr>
            <w:tcW w:w="3456" w:type="dxa"/>
            <w:vAlign w:val="center"/>
          </w:tcPr>
          <w:p w14:paraId="189016FA" w14:textId="77777777" w:rsidR="00DD63E2" w:rsidRDefault="00824AA9">
            <w:r>
              <w:t>A8</w:t>
            </w:r>
          </w:p>
        </w:tc>
        <w:tc>
          <w:tcPr>
            <w:tcW w:w="3456" w:type="dxa"/>
            <w:vAlign w:val="center"/>
          </w:tcPr>
          <w:p w14:paraId="6ACE3FF9" w14:textId="77777777" w:rsidR="00DD63E2" w:rsidRDefault="00824AA9">
            <w:r>
              <w:t>Weakest path element limits hosting</w:t>
            </w:r>
          </w:p>
        </w:tc>
        <w:tc>
          <w:tcPr>
            <w:tcW w:w="3456" w:type="dxa"/>
            <w:vAlign w:val="center"/>
          </w:tcPr>
          <w:p w14:paraId="0579146B" w14:textId="77777777" w:rsidR="00DD63E2" w:rsidRDefault="00824AA9">
            <w:r>
              <w:t>A candidate can only accept as much additional load as the most constrained required breaker/line/transformer on its path.</w:t>
            </w:r>
          </w:p>
        </w:tc>
      </w:tr>
      <w:tr w:rsidR="00DD63E2" w14:paraId="150D9738" w14:textId="77777777">
        <w:tc>
          <w:tcPr>
            <w:tcW w:w="3456" w:type="dxa"/>
            <w:vAlign w:val="center"/>
          </w:tcPr>
          <w:p w14:paraId="548C24E6" w14:textId="77777777" w:rsidR="00DD63E2" w:rsidRDefault="00824AA9">
            <w:r>
              <w:t>A9</w:t>
            </w:r>
          </w:p>
        </w:tc>
        <w:tc>
          <w:tcPr>
            <w:tcW w:w="3456" w:type="dxa"/>
            <w:vAlign w:val="center"/>
          </w:tcPr>
          <w:p w14:paraId="1F707522" w14:textId="77777777" w:rsidR="00DD63E2" w:rsidRDefault="00824AA9">
            <w:r>
              <w:t>Unresolved meter mapping is tested for materiality</w:t>
            </w:r>
          </w:p>
        </w:tc>
        <w:tc>
          <w:tcPr>
            <w:tcW w:w="3456" w:type="dxa"/>
            <w:vAlign w:val="center"/>
          </w:tcPr>
          <w:p w14:paraId="384A4A35" w14:textId="77777777" w:rsidR="00DD63E2" w:rsidRDefault="00824AA9">
            <w:r>
              <w:t>Unresolved meters are not discarded; their possible contribution is checked before a candidate is cleared.</w:t>
            </w:r>
          </w:p>
        </w:tc>
      </w:tr>
      <w:tr w:rsidR="00DD63E2" w14:paraId="30AD9F8C" w14:textId="77777777">
        <w:tc>
          <w:tcPr>
            <w:tcW w:w="3456" w:type="dxa"/>
            <w:vAlign w:val="center"/>
          </w:tcPr>
          <w:p w14:paraId="456EE927" w14:textId="77777777" w:rsidR="00DD63E2" w:rsidRDefault="00824AA9">
            <w:r>
              <w:t>A10</w:t>
            </w:r>
          </w:p>
        </w:tc>
        <w:tc>
          <w:tcPr>
            <w:tcW w:w="3456" w:type="dxa"/>
            <w:vAlign w:val="center"/>
          </w:tcPr>
          <w:p w14:paraId="4AF364A5" w14:textId="77777777" w:rsidR="00DD63E2" w:rsidRDefault="00824AA9">
            <w:r>
              <w:t>Substation capacity is not invented</w:t>
            </w:r>
          </w:p>
        </w:tc>
        <w:tc>
          <w:tcPr>
            <w:tcW w:w="3456" w:type="dxa"/>
            <w:vAlign w:val="center"/>
          </w:tcPr>
          <w:p w14:paraId="7668E1DC" w14:textId="77777777" w:rsidR="00DD63E2" w:rsidRDefault="00824AA9">
            <w:r>
              <w:t>Breaker or transformer ratings are not summed to create station capacity without explicit evidence that they represent the shared station limit.</w:t>
            </w:r>
          </w:p>
        </w:tc>
      </w:tr>
      <w:tr w:rsidR="00DD63E2" w14:paraId="045F13C3" w14:textId="77777777">
        <w:tc>
          <w:tcPr>
            <w:tcW w:w="3456" w:type="dxa"/>
            <w:vAlign w:val="center"/>
          </w:tcPr>
          <w:p w14:paraId="0FCE839F" w14:textId="77777777" w:rsidR="00DD63E2" w:rsidRDefault="00824AA9">
            <w:r>
              <w:t>A11</w:t>
            </w:r>
          </w:p>
        </w:tc>
        <w:tc>
          <w:tcPr>
            <w:tcW w:w="3456" w:type="dxa"/>
            <w:vAlign w:val="center"/>
          </w:tcPr>
          <w:p w14:paraId="009C225D" w14:textId="77777777" w:rsidR="00DD63E2" w:rsidRDefault="00824AA9">
            <w:r>
              <w:t>Substation load is coincident</w:t>
            </w:r>
          </w:p>
        </w:tc>
        <w:tc>
          <w:tcPr>
            <w:tcW w:w="3456" w:type="dxa"/>
            <w:vAlign w:val="center"/>
          </w:tcPr>
          <w:p w14:paraId="00DEF4B9" w14:textId="77777777" w:rsidR="00DD63E2" w:rsidRDefault="00824AA9">
            <w:r>
              <w:t>Existing substation load is the timestamp-aligned sum of every mapped feeder behind that station, including feeders that are not data-center candidates.</w:t>
            </w:r>
          </w:p>
        </w:tc>
      </w:tr>
      <w:tr w:rsidR="00DD63E2" w14:paraId="606360B7" w14:textId="77777777">
        <w:tc>
          <w:tcPr>
            <w:tcW w:w="3456" w:type="dxa"/>
            <w:vAlign w:val="center"/>
          </w:tcPr>
          <w:p w14:paraId="4E85C171" w14:textId="77777777" w:rsidR="00DD63E2" w:rsidRDefault="00824AA9">
            <w:r>
              <w:t>A12</w:t>
            </w:r>
          </w:p>
        </w:tc>
        <w:tc>
          <w:tcPr>
            <w:tcW w:w="3456" w:type="dxa"/>
            <w:vAlign w:val="center"/>
          </w:tcPr>
          <w:p w14:paraId="7C5AF3F2" w14:textId="77777777" w:rsidR="00DD63E2" w:rsidRDefault="00824AA9">
            <w:r>
              <w:t>Firm hosting is the base optimization ceiling</w:t>
            </w:r>
          </w:p>
        </w:tc>
        <w:tc>
          <w:tcPr>
            <w:tcW w:w="3456" w:type="dxa"/>
            <w:vAlign w:val="center"/>
          </w:tcPr>
          <w:p w14:paraId="484D813A" w14:textId="77777777" w:rsidR="00DD63E2" w:rsidRDefault="00824AA9">
            <w:r>
              <w:t>The first MILP uses the minimum hosting capacity observed across accepted model intervals as the conservative site ceiling.</w:t>
            </w:r>
          </w:p>
        </w:tc>
      </w:tr>
      <w:tr w:rsidR="00DD63E2" w14:paraId="1D9A1F80" w14:textId="77777777">
        <w:tc>
          <w:tcPr>
            <w:tcW w:w="3456" w:type="dxa"/>
            <w:vAlign w:val="center"/>
          </w:tcPr>
          <w:p w14:paraId="5F8233BB" w14:textId="77777777" w:rsidR="00DD63E2" w:rsidRDefault="00824AA9">
            <w:r>
              <w:t>A13</w:t>
            </w:r>
          </w:p>
        </w:tc>
        <w:tc>
          <w:tcPr>
            <w:tcW w:w="3456" w:type="dxa"/>
            <w:vAlign w:val="center"/>
          </w:tcPr>
          <w:p w14:paraId="21077250" w14:textId="77777777" w:rsidR="00DD63E2" w:rsidRDefault="00824AA9">
            <w:r>
              <w:t>Unresolved station capacity means upper bound</w:t>
            </w:r>
          </w:p>
        </w:tc>
        <w:tc>
          <w:tcPr>
            <w:tcW w:w="3456" w:type="dxa"/>
            <w:vAlign w:val="center"/>
          </w:tcPr>
          <w:p w14:paraId="35B937B0" w14:textId="77777777" w:rsidR="00DD63E2" w:rsidRDefault="00824AA9">
            <w:r>
              <w:t>If substation capacity is unknown, any MILP result that ignores that shared limit is labeled a feeder-constrained upper bound rather than final hosting capacity.</w:t>
            </w:r>
          </w:p>
        </w:tc>
      </w:tr>
      <w:tr w:rsidR="00DD63E2" w14:paraId="2066895F" w14:textId="77777777">
        <w:tc>
          <w:tcPr>
            <w:tcW w:w="3456" w:type="dxa"/>
            <w:vAlign w:val="center"/>
          </w:tcPr>
          <w:p w14:paraId="3CB72CB2" w14:textId="77777777" w:rsidR="00DD63E2" w:rsidRDefault="00824AA9">
            <w:r>
              <w:t>A14</w:t>
            </w:r>
          </w:p>
        </w:tc>
        <w:tc>
          <w:tcPr>
            <w:tcW w:w="3456" w:type="dxa"/>
            <w:vAlign w:val="center"/>
          </w:tcPr>
          <w:p w14:paraId="5A3A6F2C" w14:textId="77777777" w:rsidR="00DD63E2" w:rsidRDefault="00824AA9">
            <w:r>
              <w:t>Substation planning utilization</w:t>
            </w:r>
          </w:p>
        </w:tc>
        <w:tc>
          <w:tcPr>
            <w:tcW w:w="3456" w:type="dxa"/>
            <w:vAlign w:val="center"/>
          </w:tcPr>
          <w:p w14:paraId="0EC7C1E8" w14:textId="77777777" w:rsidR="00DD63E2" w:rsidRDefault="00824AA9">
            <w:r>
              <w:t>80%, 90%, and 100% of an explicit station capacity may be shown as sensitivities; overload above 100% is not assumed without a defined emergency rating/duration.</w:t>
            </w:r>
          </w:p>
        </w:tc>
      </w:tr>
      <w:tr w:rsidR="00DD63E2" w14:paraId="13ADEEFF" w14:textId="77777777">
        <w:tc>
          <w:tcPr>
            <w:tcW w:w="3456" w:type="dxa"/>
            <w:vAlign w:val="center"/>
          </w:tcPr>
          <w:p w14:paraId="18B0BBCF" w14:textId="77777777" w:rsidR="00DD63E2" w:rsidRDefault="00824AA9">
            <w:r>
              <w:t>A15</w:t>
            </w:r>
          </w:p>
        </w:tc>
        <w:tc>
          <w:tcPr>
            <w:tcW w:w="3456" w:type="dxa"/>
            <w:vAlign w:val="center"/>
          </w:tcPr>
          <w:p w14:paraId="4F21B3D0" w14:textId="77777777" w:rsidR="00DD63E2" w:rsidRDefault="00824AA9">
            <w:r>
              <w:t>One centralized data center</w:t>
            </w:r>
          </w:p>
        </w:tc>
        <w:tc>
          <w:tcPr>
            <w:tcW w:w="3456" w:type="dxa"/>
            <w:vAlign w:val="center"/>
          </w:tcPr>
          <w:p w14:paraId="5AFC1491" w14:textId="77777777" w:rsidR="00DD63E2" w:rsidRDefault="00824AA9">
            <w:r>
              <w:t>The final decision is one physical centralized data-center location. Distributed compute can be modeled separately, but the central-site MILP should select exactly one site.</w:t>
            </w:r>
          </w:p>
        </w:tc>
      </w:tr>
      <w:tr w:rsidR="00DD63E2" w14:paraId="1A5B912A" w14:textId="77777777">
        <w:tc>
          <w:tcPr>
            <w:tcW w:w="3456" w:type="dxa"/>
            <w:vAlign w:val="center"/>
          </w:tcPr>
          <w:p w14:paraId="12B66AD5" w14:textId="77777777" w:rsidR="00DD63E2" w:rsidRDefault="00824AA9">
            <w:r>
              <w:t>A16</w:t>
            </w:r>
          </w:p>
        </w:tc>
        <w:tc>
          <w:tcPr>
            <w:tcW w:w="3456" w:type="dxa"/>
            <w:vAlign w:val="center"/>
          </w:tcPr>
          <w:p w14:paraId="7B2D17B6" w14:textId="77777777" w:rsidR="00DD63E2" w:rsidRDefault="00824AA9">
            <w:r>
              <w:t>Current candidate set is not final</w:t>
            </w:r>
          </w:p>
        </w:tc>
        <w:tc>
          <w:tcPr>
            <w:tcW w:w="3456" w:type="dxa"/>
            <w:vAlign w:val="center"/>
          </w:tcPr>
          <w:p w14:paraId="0BF39303" w14:textId="77777777" w:rsidR="00DD63E2" w:rsidRDefault="00824AA9">
            <w:r>
              <w:t>The current candidates validate the methodology but should be expanded across more substations before the final location decision.</w:t>
            </w:r>
          </w:p>
        </w:tc>
      </w:tr>
      <w:tr w:rsidR="00DD63E2" w14:paraId="4BD09ACA" w14:textId="77777777">
        <w:tc>
          <w:tcPr>
            <w:tcW w:w="3456" w:type="dxa"/>
            <w:vAlign w:val="center"/>
          </w:tcPr>
          <w:p w14:paraId="45DCBF24" w14:textId="77777777" w:rsidR="00DD63E2" w:rsidRDefault="00824AA9">
            <w:r>
              <w:t>A17</w:t>
            </w:r>
          </w:p>
        </w:tc>
        <w:tc>
          <w:tcPr>
            <w:tcW w:w="3456" w:type="dxa"/>
            <w:vAlign w:val="center"/>
          </w:tcPr>
          <w:p w14:paraId="409D9B79" w14:textId="77777777" w:rsidR="00DD63E2" w:rsidRDefault="00824AA9">
            <w:r>
              <w:t>Battery behavior requires explicit limits</w:t>
            </w:r>
          </w:p>
        </w:tc>
        <w:tc>
          <w:tcPr>
            <w:tcW w:w="3456" w:type="dxa"/>
            <w:vAlign w:val="center"/>
          </w:tcPr>
          <w:p w14:paraId="79625129" w14:textId="77777777" w:rsidR="00DD63E2" w:rsidRDefault="00824AA9">
            <w:r>
              <w:t>Battery power, energy, efficiency, initial/final state of charge, and availability must be specified; the battery cannot provide unlimited support.</w:t>
            </w:r>
          </w:p>
        </w:tc>
      </w:tr>
      <w:tr w:rsidR="00DD63E2" w14:paraId="1C318B1E" w14:textId="77777777">
        <w:tc>
          <w:tcPr>
            <w:tcW w:w="3456" w:type="dxa"/>
            <w:vAlign w:val="center"/>
          </w:tcPr>
          <w:p w14:paraId="1CCF0BD4" w14:textId="77777777" w:rsidR="00DD63E2" w:rsidRDefault="00824AA9">
            <w:r>
              <w:t>A18</w:t>
            </w:r>
          </w:p>
        </w:tc>
        <w:tc>
          <w:tcPr>
            <w:tcW w:w="3456" w:type="dxa"/>
            <w:vAlign w:val="center"/>
          </w:tcPr>
          <w:p w14:paraId="4E0592B1" w14:textId="77777777" w:rsidR="00DD63E2" w:rsidRDefault="00824AA9">
            <w:r>
              <w:t>Demand response is not directly observed</w:t>
            </w:r>
          </w:p>
        </w:tc>
        <w:tc>
          <w:tcPr>
            <w:tcW w:w="3456" w:type="dxa"/>
            <w:vAlign w:val="center"/>
          </w:tcPr>
          <w:p w14:paraId="46D95F80" w14:textId="77777777" w:rsidR="00DD63E2" w:rsidRDefault="00824AA9">
            <w:r>
              <w:t>No explicit DR enrollment/dispatch dataset has been identified in the current EDM, so DR capability must come from an external assumption or defensible estimate.</w:t>
            </w:r>
          </w:p>
        </w:tc>
      </w:tr>
      <w:tr w:rsidR="00DD63E2" w14:paraId="3E548B9E" w14:textId="77777777">
        <w:tc>
          <w:tcPr>
            <w:tcW w:w="3456" w:type="dxa"/>
            <w:vAlign w:val="center"/>
          </w:tcPr>
          <w:p w14:paraId="33B2BAAB" w14:textId="77777777" w:rsidR="00DD63E2" w:rsidRDefault="00824AA9">
            <w:r>
              <w:lastRenderedPageBreak/>
              <w:t>A19</w:t>
            </w:r>
          </w:p>
        </w:tc>
        <w:tc>
          <w:tcPr>
            <w:tcW w:w="3456" w:type="dxa"/>
            <w:vAlign w:val="center"/>
          </w:tcPr>
          <w:p w14:paraId="6AAFF182" w14:textId="77777777" w:rsidR="00DD63E2" w:rsidRDefault="00824AA9">
            <w:r>
              <w:t>Capacity-discovery evidence requires review</w:t>
            </w:r>
          </w:p>
        </w:tc>
        <w:tc>
          <w:tcPr>
            <w:tcW w:w="3456" w:type="dxa"/>
            <w:vAlign w:val="center"/>
          </w:tcPr>
          <w:p w14:paraId="7AD0FBB0" w14:textId="77777777" w:rsidR="00DD63E2" w:rsidRDefault="00824AA9">
            <w:r>
              <w:t>Any capacity-like metadata found by `substation_capacity_discovery.py` must be manually validated before being entered as `TotalCapacityMW`.</w:t>
            </w:r>
          </w:p>
        </w:tc>
      </w:tr>
      <w:tr w:rsidR="00DD63E2" w14:paraId="27ED1CD3" w14:textId="77777777">
        <w:tc>
          <w:tcPr>
            <w:tcW w:w="3456" w:type="dxa"/>
            <w:vAlign w:val="center"/>
          </w:tcPr>
          <w:p w14:paraId="4C7D0FD4" w14:textId="77777777" w:rsidR="00DD63E2" w:rsidRDefault="00824AA9">
            <w:r>
              <w:t>A20</w:t>
            </w:r>
          </w:p>
        </w:tc>
        <w:tc>
          <w:tcPr>
            <w:tcW w:w="3456" w:type="dxa"/>
            <w:vAlign w:val="center"/>
          </w:tcPr>
          <w:p w14:paraId="74D51346" w14:textId="77777777" w:rsidR="00DD63E2" w:rsidRDefault="00824AA9">
            <w:r>
              <w:t>2024 baseline is not a future guarantee</w:t>
            </w:r>
          </w:p>
        </w:tc>
        <w:tc>
          <w:tcPr>
            <w:tcW w:w="3456" w:type="dxa"/>
            <w:vAlign w:val="center"/>
          </w:tcPr>
          <w:p w14:paraId="2D516DC6" w14:textId="77777777" w:rsidR="00DD63E2" w:rsidRDefault="00824AA9">
            <w:r>
              <w:t>The synthetic 2024 load year is the model baseline; growth and future uncertainty are handled later through sensitivity/Monte Carlo testing.</w:t>
            </w:r>
          </w:p>
        </w:tc>
      </w:tr>
    </w:tbl>
    <w:p w14:paraId="4E77809A" w14:textId="7D58C31E" w:rsidR="00DD63E2" w:rsidRDefault="00881269">
      <w:pPr>
        <w:pStyle w:val="Heading1"/>
      </w:pPr>
      <w:r>
        <w:t>3</w:t>
      </w:r>
      <w:r w:rsidR="00824AA9">
        <w:t>. Math and Formula Index</w:t>
      </w:r>
    </w:p>
    <w:tbl>
      <w:tblPr>
        <w:tblStyle w:val="TableGrid"/>
        <w:tblW w:w="0" w:type="auto"/>
        <w:tblLook w:val="04A0" w:firstRow="1" w:lastRow="0" w:firstColumn="1" w:lastColumn="0" w:noHBand="0" w:noVBand="1"/>
      </w:tblPr>
      <w:tblGrid>
        <w:gridCol w:w="2587"/>
        <w:gridCol w:w="2589"/>
        <w:gridCol w:w="2591"/>
        <w:gridCol w:w="2591"/>
      </w:tblGrid>
      <w:tr w:rsidR="00DD63E2" w14:paraId="33389578" w14:textId="77777777">
        <w:tc>
          <w:tcPr>
            <w:tcW w:w="2592" w:type="dxa"/>
          </w:tcPr>
          <w:p w14:paraId="598D6564" w14:textId="77777777" w:rsidR="00DD63E2" w:rsidRDefault="00824AA9">
            <w:r>
              <w:t>Key</w:t>
            </w:r>
          </w:p>
        </w:tc>
        <w:tc>
          <w:tcPr>
            <w:tcW w:w="2592" w:type="dxa"/>
          </w:tcPr>
          <w:p w14:paraId="2077982E" w14:textId="77777777" w:rsidR="00DD63E2" w:rsidRDefault="00824AA9">
            <w:r>
              <w:t>Calculation</w:t>
            </w:r>
          </w:p>
        </w:tc>
        <w:tc>
          <w:tcPr>
            <w:tcW w:w="2592" w:type="dxa"/>
          </w:tcPr>
          <w:p w14:paraId="2715D0F0" w14:textId="77777777" w:rsidR="00DD63E2" w:rsidRDefault="00824AA9">
            <w:r>
              <w:t>Formula</w:t>
            </w:r>
          </w:p>
        </w:tc>
        <w:tc>
          <w:tcPr>
            <w:tcW w:w="2592" w:type="dxa"/>
          </w:tcPr>
          <w:p w14:paraId="0AFD51D2" w14:textId="77777777" w:rsidR="00DD63E2" w:rsidRDefault="00824AA9">
            <w:r>
              <w:t>Use</w:t>
            </w:r>
          </w:p>
        </w:tc>
      </w:tr>
      <w:tr w:rsidR="00DD63E2" w14:paraId="0095D294" w14:textId="77777777">
        <w:tc>
          <w:tcPr>
            <w:tcW w:w="2592" w:type="dxa"/>
          </w:tcPr>
          <w:p w14:paraId="1CCAEE91" w14:textId="77777777" w:rsidR="00DD63E2" w:rsidRDefault="00824AA9">
            <w:r>
              <w:t>M1</w:t>
            </w:r>
          </w:p>
        </w:tc>
        <w:tc>
          <w:tcPr>
            <w:tcW w:w="2592" w:type="dxa"/>
          </w:tcPr>
          <w:p w14:paraId="302EFF94" w14:textId="77777777" w:rsidR="00DD63E2" w:rsidRDefault="00824AA9">
            <w:r>
              <w:t>Five-minute energy to power</w:t>
            </w:r>
          </w:p>
        </w:tc>
        <w:tc>
          <w:tcPr>
            <w:tcW w:w="2592" w:type="dxa"/>
          </w:tcPr>
          <w:p w14:paraId="160F8E82" w14:textId="77777777" w:rsidR="00DD63E2" w:rsidRDefault="00824AA9">
            <w:r>
              <w:t>P_MW = kWh / (5/60) / 1000</w:t>
            </w:r>
          </w:p>
        </w:tc>
        <w:tc>
          <w:tcPr>
            <w:tcW w:w="2592" w:type="dxa"/>
          </w:tcPr>
          <w:p w14:paraId="6DDADE7A" w14:textId="77777777" w:rsidR="00DD63E2" w:rsidRDefault="00824AA9">
            <w:r>
              <w:t>Converts five-minute breaker energy into average MW.</w:t>
            </w:r>
          </w:p>
        </w:tc>
      </w:tr>
      <w:tr w:rsidR="00DD63E2" w14:paraId="57E44FD9" w14:textId="77777777">
        <w:tc>
          <w:tcPr>
            <w:tcW w:w="2592" w:type="dxa"/>
          </w:tcPr>
          <w:p w14:paraId="0EBC2CBE" w14:textId="77777777" w:rsidR="00DD63E2" w:rsidRDefault="00824AA9">
            <w:r>
              <w:t>M2</w:t>
            </w:r>
          </w:p>
        </w:tc>
        <w:tc>
          <w:tcPr>
            <w:tcW w:w="2592" w:type="dxa"/>
          </w:tcPr>
          <w:p w14:paraId="640D389C" w14:textId="77777777" w:rsidR="00DD63E2" w:rsidRDefault="00824AA9">
            <w:r>
              <w:t>Three-phase line thermal limit</w:t>
            </w:r>
          </w:p>
        </w:tc>
        <w:tc>
          <w:tcPr>
            <w:tcW w:w="2592" w:type="dxa"/>
          </w:tcPr>
          <w:p w14:paraId="6A4197DE" w14:textId="77777777" w:rsidR="00DD63E2" w:rsidRDefault="00824AA9">
            <w:r>
              <w:t>P_limit = sqrt(3) * V_LL * I_rating * PF</w:t>
            </w:r>
          </w:p>
        </w:tc>
        <w:tc>
          <w:tcPr>
            <w:tcW w:w="2592" w:type="dxa"/>
          </w:tcPr>
          <w:p w14:paraId="716C040D" w14:textId="77777777" w:rsidR="00DD63E2" w:rsidRDefault="00824AA9">
            <w:r>
              <w:t>Converts line voltage and `rating_a` into modeled real-power capability.</w:t>
            </w:r>
          </w:p>
        </w:tc>
      </w:tr>
      <w:tr w:rsidR="00DD63E2" w14:paraId="61A07661" w14:textId="77777777">
        <w:tc>
          <w:tcPr>
            <w:tcW w:w="2592" w:type="dxa"/>
          </w:tcPr>
          <w:p w14:paraId="6CD80BAD" w14:textId="77777777" w:rsidR="00DD63E2" w:rsidRDefault="00824AA9">
            <w:r>
              <w:t>M3</w:t>
            </w:r>
          </w:p>
        </w:tc>
        <w:tc>
          <w:tcPr>
            <w:tcW w:w="2592" w:type="dxa"/>
          </w:tcPr>
          <w:p w14:paraId="3744CF81" w14:textId="77777777" w:rsidR="00DD63E2" w:rsidRDefault="00824AA9">
            <w:r>
              <w:t>Transformer / breaker thermal limit</w:t>
            </w:r>
          </w:p>
        </w:tc>
        <w:tc>
          <w:tcPr>
            <w:tcW w:w="2592" w:type="dxa"/>
          </w:tcPr>
          <w:p w14:paraId="65D951D1" w14:textId="77777777" w:rsidR="00DD63E2" w:rsidRDefault="00824AA9">
            <w:r>
              <w:t>P_limit = (rating_kVA / 1000) * PF</w:t>
            </w:r>
          </w:p>
        </w:tc>
        <w:tc>
          <w:tcPr>
            <w:tcW w:w="2592" w:type="dxa"/>
          </w:tcPr>
          <w:p w14:paraId="5D24A37A" w14:textId="77777777" w:rsidR="00DD63E2" w:rsidRDefault="00824AA9">
            <w:r>
              <w:t>Converts kVA ratings into modeled real-power capability.</w:t>
            </w:r>
          </w:p>
        </w:tc>
      </w:tr>
      <w:tr w:rsidR="00DD63E2" w14:paraId="4EF0898C" w14:textId="77777777">
        <w:tc>
          <w:tcPr>
            <w:tcW w:w="2592" w:type="dxa"/>
          </w:tcPr>
          <w:p w14:paraId="63EA5921" w14:textId="77777777" w:rsidR="00DD63E2" w:rsidRDefault="00824AA9">
            <w:r>
              <w:t>M4</w:t>
            </w:r>
          </w:p>
        </w:tc>
        <w:tc>
          <w:tcPr>
            <w:tcW w:w="2592" w:type="dxa"/>
          </w:tcPr>
          <w:p w14:paraId="306A246D" w14:textId="77777777" w:rsidR="00DD63E2" w:rsidRDefault="00824AA9">
            <w:r>
              <w:t>Residual element capacity</w:t>
            </w:r>
          </w:p>
        </w:tc>
        <w:tc>
          <w:tcPr>
            <w:tcW w:w="2592" w:type="dxa"/>
          </w:tcPr>
          <w:p w14:paraId="7304307A" w14:textId="77777777" w:rsidR="00DD63E2" w:rsidRDefault="00824AA9">
            <w:r>
              <w:t>R_e,t = C_e - L_e,t</w:t>
            </w:r>
          </w:p>
        </w:tc>
        <w:tc>
          <w:tcPr>
            <w:tcW w:w="2592" w:type="dxa"/>
          </w:tcPr>
          <w:p w14:paraId="02C4B215" w14:textId="77777777" w:rsidR="00DD63E2" w:rsidRDefault="00824AA9">
            <w:r>
              <w:t>Remaining additional load an element can carry at time t.</w:t>
            </w:r>
          </w:p>
        </w:tc>
      </w:tr>
      <w:tr w:rsidR="00DD63E2" w14:paraId="2D12A4FD" w14:textId="77777777">
        <w:tc>
          <w:tcPr>
            <w:tcW w:w="2592" w:type="dxa"/>
          </w:tcPr>
          <w:p w14:paraId="7CD9A95B" w14:textId="77777777" w:rsidR="00DD63E2" w:rsidRDefault="00824AA9">
            <w:r>
              <w:t>M5</w:t>
            </w:r>
          </w:p>
        </w:tc>
        <w:tc>
          <w:tcPr>
            <w:tcW w:w="2592" w:type="dxa"/>
          </w:tcPr>
          <w:p w14:paraId="454315AC" w14:textId="77777777" w:rsidR="00DD63E2" w:rsidRDefault="00824AA9">
            <w:r>
              <w:t>Candidate path hosting</w:t>
            </w:r>
          </w:p>
        </w:tc>
        <w:tc>
          <w:tcPr>
            <w:tcW w:w="2592" w:type="dxa"/>
          </w:tcPr>
          <w:p w14:paraId="39A34D03" w14:textId="77777777" w:rsidR="00DD63E2" w:rsidRDefault="00824AA9">
            <w:r>
              <w:t>H_j,t = max(0, min_e in Path(j) R_e,t)</w:t>
            </w:r>
          </w:p>
        </w:tc>
        <w:tc>
          <w:tcPr>
            <w:tcW w:w="2592" w:type="dxa"/>
          </w:tcPr>
          <w:p w14:paraId="48CE4AA6" w14:textId="77777777" w:rsidR="00DD63E2" w:rsidRDefault="00824AA9">
            <w:r>
              <w:t>Candidate is limited by the weakest required path element.</w:t>
            </w:r>
          </w:p>
        </w:tc>
      </w:tr>
      <w:tr w:rsidR="00DD63E2" w14:paraId="278A8638" w14:textId="77777777">
        <w:tc>
          <w:tcPr>
            <w:tcW w:w="2592" w:type="dxa"/>
          </w:tcPr>
          <w:p w14:paraId="3F5039DA" w14:textId="77777777" w:rsidR="00DD63E2" w:rsidRDefault="00824AA9">
            <w:r>
              <w:t>M6</w:t>
            </w:r>
          </w:p>
        </w:tc>
        <w:tc>
          <w:tcPr>
            <w:tcW w:w="2592" w:type="dxa"/>
          </w:tcPr>
          <w:p w14:paraId="03C84607" w14:textId="77777777" w:rsidR="00DD63E2" w:rsidRDefault="00824AA9">
            <w:r>
              <w:t>Initial location ranking</w:t>
            </w:r>
          </w:p>
        </w:tc>
        <w:tc>
          <w:tcPr>
            <w:tcW w:w="2592" w:type="dxa"/>
          </w:tcPr>
          <w:p w14:paraId="35332840" w14:textId="77777777" w:rsidR="00DD63E2" w:rsidRDefault="00824AA9">
            <w:r>
              <w:t>Rank candidates primarily by hosting/headroom after path constraints</w:t>
            </w:r>
          </w:p>
        </w:tc>
        <w:tc>
          <w:tcPr>
            <w:tcW w:w="2592" w:type="dxa"/>
          </w:tcPr>
          <w:p w14:paraId="069BF173" w14:textId="77777777" w:rsidR="00DD63E2" w:rsidRDefault="00824AA9">
            <w:r>
              <w:t>Used by `location_screen.py` to identify candidates for detailed modeling.</w:t>
            </w:r>
          </w:p>
        </w:tc>
      </w:tr>
      <w:tr w:rsidR="00DD63E2" w14:paraId="3E1F7BBD" w14:textId="77777777">
        <w:tc>
          <w:tcPr>
            <w:tcW w:w="2592" w:type="dxa"/>
          </w:tcPr>
          <w:p w14:paraId="084BEA17" w14:textId="77777777" w:rsidR="00DD63E2" w:rsidRDefault="00824AA9">
            <w:r>
              <w:t>M7</w:t>
            </w:r>
          </w:p>
        </w:tc>
        <w:tc>
          <w:tcPr>
            <w:tcW w:w="2592" w:type="dxa"/>
          </w:tcPr>
          <w:p w14:paraId="63601C5E" w14:textId="77777777" w:rsidR="00DD63E2" w:rsidRDefault="00824AA9">
            <w:r>
              <w:t>Hourly meter share</w:t>
            </w:r>
          </w:p>
        </w:tc>
        <w:tc>
          <w:tcPr>
            <w:tcW w:w="2592" w:type="dxa"/>
          </w:tcPr>
          <w:p w14:paraId="792D1BD6" w14:textId="77777777" w:rsidR="00DD63E2" w:rsidRDefault="00824AA9">
            <w:r>
              <w:t>w_i,h = M_i,h / sum_j M_j,h</w:t>
            </w:r>
          </w:p>
        </w:tc>
        <w:tc>
          <w:tcPr>
            <w:tcW w:w="2592" w:type="dxa"/>
          </w:tcPr>
          <w:p w14:paraId="5291CAD7" w14:textId="77777777" w:rsidR="00DD63E2" w:rsidRDefault="00824AA9">
            <w:r>
              <w:t>Calculates each meter's share of feeder load within an hour.</w:t>
            </w:r>
          </w:p>
        </w:tc>
      </w:tr>
      <w:tr w:rsidR="00DD63E2" w14:paraId="23A73251" w14:textId="77777777">
        <w:tc>
          <w:tcPr>
            <w:tcW w:w="2592" w:type="dxa"/>
          </w:tcPr>
          <w:p w14:paraId="58DACF23" w14:textId="77777777" w:rsidR="00DD63E2" w:rsidRDefault="00824AA9">
            <w:r>
              <w:t>M8</w:t>
            </w:r>
          </w:p>
        </w:tc>
        <w:tc>
          <w:tcPr>
            <w:tcW w:w="2592" w:type="dxa"/>
          </w:tcPr>
          <w:p w14:paraId="5D494482" w14:textId="77777777" w:rsidR="00DD63E2" w:rsidRDefault="00824AA9">
            <w:r>
              <w:t>Five-minute spatial allocation</w:t>
            </w:r>
          </w:p>
        </w:tc>
        <w:tc>
          <w:tcPr>
            <w:tcW w:w="2592" w:type="dxa"/>
          </w:tcPr>
          <w:p w14:paraId="5ED6246A" w14:textId="77777777" w:rsidR="00DD63E2" w:rsidRDefault="00824AA9">
            <w:r>
              <w:t>P_i,t = w_i,h(t) * P_breaker,t</w:t>
            </w:r>
          </w:p>
        </w:tc>
        <w:tc>
          <w:tcPr>
            <w:tcW w:w="2592" w:type="dxa"/>
          </w:tcPr>
          <w:p w14:paraId="583FD3A4" w14:textId="77777777" w:rsidR="00DD63E2" w:rsidRDefault="00824AA9">
            <w:r>
              <w:t>Uses meter spatial shape with actual breaker magnitude.</w:t>
            </w:r>
          </w:p>
        </w:tc>
      </w:tr>
      <w:tr w:rsidR="00DD63E2" w14:paraId="7524B7BB" w14:textId="77777777">
        <w:tc>
          <w:tcPr>
            <w:tcW w:w="2592" w:type="dxa"/>
          </w:tcPr>
          <w:p w14:paraId="60420AF1" w14:textId="77777777" w:rsidR="00DD63E2" w:rsidRDefault="00824AA9">
            <w:r>
              <w:t>M9</w:t>
            </w:r>
          </w:p>
        </w:tc>
        <w:tc>
          <w:tcPr>
            <w:tcW w:w="2592" w:type="dxa"/>
          </w:tcPr>
          <w:p w14:paraId="60AA9E42" w14:textId="77777777" w:rsidR="00DD63E2" w:rsidRDefault="00824AA9">
            <w:r>
              <w:t>Firm hosting</w:t>
            </w:r>
          </w:p>
        </w:tc>
        <w:tc>
          <w:tcPr>
            <w:tcW w:w="2592" w:type="dxa"/>
          </w:tcPr>
          <w:p w14:paraId="0C863A99" w14:textId="77777777" w:rsidR="00DD63E2" w:rsidRDefault="00824AA9">
            <w:r>
              <w:t>H_firm = min_t H_t</w:t>
            </w:r>
          </w:p>
        </w:tc>
        <w:tc>
          <w:tcPr>
            <w:tcW w:w="2592" w:type="dxa"/>
          </w:tcPr>
          <w:p w14:paraId="1482B349" w14:textId="77777777" w:rsidR="00DD63E2" w:rsidRDefault="00824AA9">
            <w:r>
              <w:t>Maximum added load that fits in every accepted modeled interval.</w:t>
            </w:r>
          </w:p>
        </w:tc>
      </w:tr>
      <w:tr w:rsidR="00DD63E2" w14:paraId="4A1BF52C" w14:textId="77777777">
        <w:tc>
          <w:tcPr>
            <w:tcW w:w="2592" w:type="dxa"/>
          </w:tcPr>
          <w:p w14:paraId="1CA97453" w14:textId="77777777" w:rsidR="00DD63E2" w:rsidRDefault="00824AA9">
            <w:r>
              <w:t>M10</w:t>
            </w:r>
          </w:p>
        </w:tc>
        <w:tc>
          <w:tcPr>
            <w:tcW w:w="2592" w:type="dxa"/>
          </w:tcPr>
          <w:p w14:paraId="2BE06381" w14:textId="77777777" w:rsidR="00DD63E2" w:rsidRDefault="00824AA9">
            <w:r>
              <w:t>Percentile hosting</w:t>
            </w:r>
          </w:p>
        </w:tc>
        <w:tc>
          <w:tcPr>
            <w:tcW w:w="2592" w:type="dxa"/>
          </w:tcPr>
          <w:p w14:paraId="5A560D0D" w14:textId="77777777" w:rsidR="00DD63E2" w:rsidRDefault="00824AA9">
            <w:r>
              <w:t>99% = q_0.01(H); 95% = q_0.05(H); median = q_0.50(H)</w:t>
            </w:r>
          </w:p>
        </w:tc>
        <w:tc>
          <w:tcPr>
            <w:tcW w:w="2592" w:type="dxa"/>
          </w:tcPr>
          <w:p w14:paraId="323F869D" w14:textId="77777777" w:rsidR="00DD63E2" w:rsidRDefault="00824AA9">
            <w:r>
              <w:t>Shows non-firm capacity available during most intervals.</w:t>
            </w:r>
          </w:p>
        </w:tc>
      </w:tr>
      <w:tr w:rsidR="00DD63E2" w14:paraId="0F817558" w14:textId="77777777">
        <w:tc>
          <w:tcPr>
            <w:tcW w:w="2592" w:type="dxa"/>
          </w:tcPr>
          <w:p w14:paraId="2D998568" w14:textId="77777777" w:rsidR="00DD63E2" w:rsidRDefault="00824AA9">
            <w:r>
              <w:t>M11</w:t>
            </w:r>
          </w:p>
        </w:tc>
        <w:tc>
          <w:tcPr>
            <w:tcW w:w="2592" w:type="dxa"/>
          </w:tcPr>
          <w:p w14:paraId="759FBA40" w14:textId="77777777" w:rsidR="00DD63E2" w:rsidRDefault="00824AA9">
            <w:r>
              <w:t>Substation coincident load</w:t>
            </w:r>
          </w:p>
        </w:tc>
        <w:tc>
          <w:tcPr>
            <w:tcW w:w="2592" w:type="dxa"/>
          </w:tcPr>
          <w:p w14:paraId="0BB9106E" w14:textId="77777777" w:rsidR="00DD63E2" w:rsidRDefault="00824AA9">
            <w:r>
              <w:t>P_s,t = sum_f in s P_f,t</w:t>
            </w:r>
          </w:p>
        </w:tc>
        <w:tc>
          <w:tcPr>
            <w:tcW w:w="2592" w:type="dxa"/>
          </w:tcPr>
          <w:p w14:paraId="55B80415" w14:textId="77777777" w:rsidR="00DD63E2" w:rsidRDefault="00824AA9">
            <w:r>
              <w:t>Adds all mapped feeder loads at the same timestamp.</w:t>
            </w:r>
          </w:p>
        </w:tc>
      </w:tr>
      <w:tr w:rsidR="00DD63E2" w14:paraId="2B19578B" w14:textId="77777777">
        <w:tc>
          <w:tcPr>
            <w:tcW w:w="2592" w:type="dxa"/>
          </w:tcPr>
          <w:p w14:paraId="747F7108" w14:textId="77777777" w:rsidR="00DD63E2" w:rsidRDefault="00824AA9">
            <w:r>
              <w:t>M12</w:t>
            </w:r>
          </w:p>
        </w:tc>
        <w:tc>
          <w:tcPr>
            <w:tcW w:w="2592" w:type="dxa"/>
          </w:tcPr>
          <w:p w14:paraId="5820255C" w14:textId="77777777" w:rsidR="00DD63E2" w:rsidRDefault="00824AA9">
            <w:r>
              <w:t>Substation peak</w:t>
            </w:r>
          </w:p>
        </w:tc>
        <w:tc>
          <w:tcPr>
            <w:tcW w:w="2592" w:type="dxa"/>
          </w:tcPr>
          <w:p w14:paraId="64461229" w14:textId="77777777" w:rsidR="00DD63E2" w:rsidRDefault="00824AA9">
            <w:r>
              <w:t>P_s,peak = max_t P_s,t</w:t>
            </w:r>
          </w:p>
        </w:tc>
        <w:tc>
          <w:tcPr>
            <w:tcW w:w="2592" w:type="dxa"/>
          </w:tcPr>
          <w:p w14:paraId="6F33A3A1" w14:textId="77777777" w:rsidR="00DD63E2" w:rsidRDefault="00824AA9">
            <w:r>
              <w:t>Existing upstream peak load.</w:t>
            </w:r>
          </w:p>
        </w:tc>
      </w:tr>
      <w:tr w:rsidR="00DD63E2" w14:paraId="615A7192" w14:textId="77777777">
        <w:tc>
          <w:tcPr>
            <w:tcW w:w="2592" w:type="dxa"/>
          </w:tcPr>
          <w:p w14:paraId="0640334F" w14:textId="77777777" w:rsidR="00DD63E2" w:rsidRDefault="00824AA9">
            <w:r>
              <w:t>M13</w:t>
            </w:r>
          </w:p>
        </w:tc>
        <w:tc>
          <w:tcPr>
            <w:tcW w:w="2592" w:type="dxa"/>
          </w:tcPr>
          <w:p w14:paraId="67FD1FEF" w14:textId="77777777" w:rsidR="00DD63E2" w:rsidRDefault="00824AA9">
            <w:r>
              <w:t>Coincidence factor</w:t>
            </w:r>
          </w:p>
        </w:tc>
        <w:tc>
          <w:tcPr>
            <w:tcW w:w="2592" w:type="dxa"/>
          </w:tcPr>
          <w:p w14:paraId="74BF038A" w14:textId="77777777" w:rsidR="00DD63E2" w:rsidRDefault="00824AA9">
            <w:r>
              <w:t>CF = P_s,peak / sum_f P_f,peak</w:t>
            </w:r>
          </w:p>
        </w:tc>
        <w:tc>
          <w:tcPr>
            <w:tcW w:w="2592" w:type="dxa"/>
          </w:tcPr>
          <w:p w14:paraId="5EF7BEAA" w14:textId="77777777" w:rsidR="00DD63E2" w:rsidRDefault="00824AA9">
            <w:r>
              <w:t>Shows how closely the feeder peaks align.</w:t>
            </w:r>
          </w:p>
        </w:tc>
      </w:tr>
      <w:tr w:rsidR="00DD63E2" w14:paraId="169EE5CA" w14:textId="77777777">
        <w:tc>
          <w:tcPr>
            <w:tcW w:w="2592" w:type="dxa"/>
          </w:tcPr>
          <w:p w14:paraId="65C3EADE" w14:textId="77777777" w:rsidR="00DD63E2" w:rsidRDefault="00824AA9">
            <w:r>
              <w:t>M14</w:t>
            </w:r>
          </w:p>
        </w:tc>
        <w:tc>
          <w:tcPr>
            <w:tcW w:w="2592" w:type="dxa"/>
          </w:tcPr>
          <w:p w14:paraId="28163804" w14:textId="77777777" w:rsidR="00DD63E2" w:rsidRDefault="00824AA9">
            <w:r>
              <w:t>Diversity factor</w:t>
            </w:r>
          </w:p>
        </w:tc>
        <w:tc>
          <w:tcPr>
            <w:tcW w:w="2592" w:type="dxa"/>
          </w:tcPr>
          <w:p w14:paraId="776FC478" w14:textId="77777777" w:rsidR="00DD63E2" w:rsidRDefault="00824AA9">
            <w:r>
              <w:t>DF = 1 / CF</w:t>
            </w:r>
          </w:p>
        </w:tc>
        <w:tc>
          <w:tcPr>
            <w:tcW w:w="2592" w:type="dxa"/>
          </w:tcPr>
          <w:p w14:paraId="15D139B1" w14:textId="77777777" w:rsidR="00DD63E2" w:rsidRDefault="00824AA9">
            <w:r>
              <w:t>Inverse of coincidence factor.</w:t>
            </w:r>
          </w:p>
        </w:tc>
      </w:tr>
      <w:tr w:rsidR="00DD63E2" w14:paraId="682BCA76" w14:textId="77777777">
        <w:tc>
          <w:tcPr>
            <w:tcW w:w="2592" w:type="dxa"/>
          </w:tcPr>
          <w:p w14:paraId="68E2297B" w14:textId="77777777" w:rsidR="00DD63E2" w:rsidRDefault="00824AA9">
            <w:r>
              <w:t>M15</w:t>
            </w:r>
          </w:p>
        </w:tc>
        <w:tc>
          <w:tcPr>
            <w:tcW w:w="2592" w:type="dxa"/>
          </w:tcPr>
          <w:p w14:paraId="475E4F3D" w14:textId="77777777" w:rsidR="00DD63E2" w:rsidRDefault="00824AA9">
            <w:r>
              <w:t>Substation load factor</w:t>
            </w:r>
          </w:p>
        </w:tc>
        <w:tc>
          <w:tcPr>
            <w:tcW w:w="2592" w:type="dxa"/>
          </w:tcPr>
          <w:p w14:paraId="0812C529" w14:textId="77777777" w:rsidR="00DD63E2" w:rsidRDefault="00824AA9">
            <w:r>
              <w:t>LF = AverageMW / PeakMW</w:t>
            </w:r>
          </w:p>
        </w:tc>
        <w:tc>
          <w:tcPr>
            <w:tcW w:w="2592" w:type="dxa"/>
          </w:tcPr>
          <w:p w14:paraId="53225BE2" w14:textId="77777777" w:rsidR="00DD63E2" w:rsidRDefault="00824AA9">
            <w:r>
              <w:t xml:space="preserve">Shows how persistently a </w:t>
            </w:r>
            <w:r>
              <w:lastRenderedPageBreak/>
              <w:t>station operates near peak.</w:t>
            </w:r>
          </w:p>
        </w:tc>
      </w:tr>
      <w:tr w:rsidR="00DD63E2" w14:paraId="279066DF" w14:textId="77777777">
        <w:tc>
          <w:tcPr>
            <w:tcW w:w="2592" w:type="dxa"/>
          </w:tcPr>
          <w:p w14:paraId="7302F724" w14:textId="77777777" w:rsidR="00DD63E2" w:rsidRDefault="00824AA9">
            <w:r>
              <w:lastRenderedPageBreak/>
              <w:t>M16</w:t>
            </w:r>
          </w:p>
        </w:tc>
        <w:tc>
          <w:tcPr>
            <w:tcW w:w="2592" w:type="dxa"/>
          </w:tcPr>
          <w:p w14:paraId="53D01DF5" w14:textId="77777777" w:rsidR="00DD63E2" w:rsidRDefault="00824AA9">
            <w:r>
              <w:t>Substation headroom</w:t>
            </w:r>
          </w:p>
        </w:tc>
        <w:tc>
          <w:tcPr>
            <w:tcW w:w="2592" w:type="dxa"/>
          </w:tcPr>
          <w:p w14:paraId="721A1FD6" w14:textId="77777777" w:rsidR="00DD63E2" w:rsidRDefault="00824AA9">
            <w:r>
              <w:t>H_s = C_s - P_s,peak</w:t>
            </w:r>
          </w:p>
        </w:tc>
        <w:tc>
          <w:tcPr>
            <w:tcW w:w="2592" w:type="dxa"/>
          </w:tcPr>
          <w:p w14:paraId="6F443ACB" w14:textId="77777777" w:rsidR="00DD63E2" w:rsidRDefault="00824AA9">
            <w:r>
              <w:t>Shared additional capacity after explicit station capacity is known.</w:t>
            </w:r>
          </w:p>
        </w:tc>
      </w:tr>
      <w:tr w:rsidR="00DD63E2" w14:paraId="54615B27" w14:textId="77777777">
        <w:tc>
          <w:tcPr>
            <w:tcW w:w="2592" w:type="dxa"/>
          </w:tcPr>
          <w:p w14:paraId="69C74CDB" w14:textId="77777777" w:rsidR="00DD63E2" w:rsidRDefault="00824AA9">
            <w:r>
              <w:t>M17</w:t>
            </w:r>
          </w:p>
        </w:tc>
        <w:tc>
          <w:tcPr>
            <w:tcW w:w="2592" w:type="dxa"/>
          </w:tcPr>
          <w:p w14:paraId="1DDC5137" w14:textId="77777777" w:rsidR="00DD63E2" w:rsidRDefault="00824AA9">
            <w:r>
              <w:t>MILP candidate limit</w:t>
            </w:r>
          </w:p>
        </w:tc>
        <w:tc>
          <w:tcPr>
            <w:tcW w:w="2592" w:type="dxa"/>
          </w:tcPr>
          <w:p w14:paraId="282474C9" w14:textId="77777777" w:rsidR="00DD63E2" w:rsidRDefault="00824AA9">
            <w:r>
              <w:t>0 &lt;= P_j &lt;= H_j^firm * x_j</w:t>
            </w:r>
          </w:p>
        </w:tc>
        <w:tc>
          <w:tcPr>
            <w:tcW w:w="2592" w:type="dxa"/>
          </w:tcPr>
          <w:p w14:paraId="19A119A4" w14:textId="77777777" w:rsidR="00DD63E2" w:rsidRDefault="00824AA9">
            <w:r>
              <w:t>Links site selection to thermally feasible installed MW.</w:t>
            </w:r>
          </w:p>
        </w:tc>
      </w:tr>
      <w:tr w:rsidR="00DD63E2" w14:paraId="35D1532A" w14:textId="77777777">
        <w:tc>
          <w:tcPr>
            <w:tcW w:w="2592" w:type="dxa"/>
          </w:tcPr>
          <w:p w14:paraId="35F2D850" w14:textId="77777777" w:rsidR="00DD63E2" w:rsidRDefault="00824AA9">
            <w:r>
              <w:t>M18</w:t>
            </w:r>
          </w:p>
        </w:tc>
        <w:tc>
          <w:tcPr>
            <w:tcW w:w="2592" w:type="dxa"/>
          </w:tcPr>
          <w:p w14:paraId="4061332E" w14:textId="77777777" w:rsidR="00DD63E2" w:rsidRDefault="00824AA9">
            <w:r>
              <w:t>Single-site selection</w:t>
            </w:r>
          </w:p>
        </w:tc>
        <w:tc>
          <w:tcPr>
            <w:tcW w:w="2592" w:type="dxa"/>
          </w:tcPr>
          <w:p w14:paraId="6BF53570" w14:textId="77777777" w:rsidR="00DD63E2" w:rsidRDefault="00824AA9">
            <w:r>
              <w:t>sum_j x_j = 1</w:t>
            </w:r>
          </w:p>
        </w:tc>
        <w:tc>
          <w:tcPr>
            <w:tcW w:w="2592" w:type="dxa"/>
          </w:tcPr>
          <w:p w14:paraId="390FFFB3" w14:textId="77777777" w:rsidR="00DD63E2" w:rsidRDefault="00824AA9">
            <w:r>
              <w:t>Final centralized-data-center model selects exactly one candidate site.</w:t>
            </w:r>
          </w:p>
        </w:tc>
      </w:tr>
      <w:tr w:rsidR="00DD63E2" w14:paraId="7F416D68" w14:textId="77777777">
        <w:tc>
          <w:tcPr>
            <w:tcW w:w="2592" w:type="dxa"/>
          </w:tcPr>
          <w:p w14:paraId="3A7043A1" w14:textId="77777777" w:rsidR="00DD63E2" w:rsidRDefault="00824AA9">
            <w:r>
              <w:t>M19</w:t>
            </w:r>
          </w:p>
        </w:tc>
        <w:tc>
          <w:tcPr>
            <w:tcW w:w="2592" w:type="dxa"/>
          </w:tcPr>
          <w:p w14:paraId="7FDF5B5D" w14:textId="77777777" w:rsidR="00DD63E2" w:rsidRDefault="00824AA9">
            <w:r>
              <w:t>Substation MILP constraint</w:t>
            </w:r>
          </w:p>
        </w:tc>
        <w:tc>
          <w:tcPr>
            <w:tcW w:w="2592" w:type="dxa"/>
          </w:tcPr>
          <w:p w14:paraId="36C103DC" w14:textId="77777777" w:rsidR="00DD63E2" w:rsidRDefault="00824AA9">
            <w:r>
              <w:t>sum_j in s P_j &lt;= H_s</w:t>
            </w:r>
          </w:p>
        </w:tc>
        <w:tc>
          <w:tcPr>
            <w:tcW w:w="2592" w:type="dxa"/>
          </w:tcPr>
          <w:p w14:paraId="25BDD92E" w14:textId="77777777" w:rsidR="00DD63E2" w:rsidRDefault="00824AA9">
            <w:r>
              <w:t>Enforces the shared upstream station limit.</w:t>
            </w:r>
          </w:p>
        </w:tc>
      </w:tr>
      <w:tr w:rsidR="00DD63E2" w14:paraId="7C3C635C" w14:textId="77777777">
        <w:tc>
          <w:tcPr>
            <w:tcW w:w="2592" w:type="dxa"/>
          </w:tcPr>
          <w:p w14:paraId="0C0F3BBA" w14:textId="77777777" w:rsidR="00DD63E2" w:rsidRDefault="00824AA9">
            <w:r>
              <w:t>M20</w:t>
            </w:r>
          </w:p>
        </w:tc>
        <w:tc>
          <w:tcPr>
            <w:tcW w:w="2592" w:type="dxa"/>
          </w:tcPr>
          <w:p w14:paraId="3F72F54F" w14:textId="77777777" w:rsidR="00DD63E2" w:rsidRDefault="00824AA9">
            <w:r>
              <w:t>Battery grid effect</w:t>
            </w:r>
          </w:p>
        </w:tc>
        <w:tc>
          <w:tcPr>
            <w:tcW w:w="2592" w:type="dxa"/>
          </w:tcPr>
          <w:p w14:paraId="3839AE04" w14:textId="77777777" w:rsidR="00DD63E2" w:rsidRDefault="00824AA9">
            <w:r>
              <w:t>P_grid,t = P_DC,t + P_charge,t - P_discharge,t</w:t>
            </w:r>
          </w:p>
        </w:tc>
        <w:tc>
          <w:tcPr>
            <w:tcW w:w="2592" w:type="dxa"/>
          </w:tcPr>
          <w:p w14:paraId="17D5B2E3" w14:textId="77777777" w:rsidR="00DD63E2" w:rsidRDefault="00824AA9">
            <w:r>
              <w:t>Battery charging increases grid demand; discharge reduces it.</w:t>
            </w:r>
          </w:p>
        </w:tc>
      </w:tr>
      <w:tr w:rsidR="00DD63E2" w14:paraId="5EE0E48B" w14:textId="77777777">
        <w:tc>
          <w:tcPr>
            <w:tcW w:w="2592" w:type="dxa"/>
          </w:tcPr>
          <w:p w14:paraId="33BCC9C4" w14:textId="77777777" w:rsidR="00DD63E2" w:rsidRDefault="00824AA9">
            <w:r>
              <w:t>M21</w:t>
            </w:r>
          </w:p>
        </w:tc>
        <w:tc>
          <w:tcPr>
            <w:tcW w:w="2592" w:type="dxa"/>
          </w:tcPr>
          <w:p w14:paraId="6C953C17" w14:textId="77777777" w:rsidR="00DD63E2" w:rsidRDefault="00824AA9">
            <w:r>
              <w:t>Battery state of charge</w:t>
            </w:r>
          </w:p>
        </w:tc>
        <w:tc>
          <w:tcPr>
            <w:tcW w:w="2592" w:type="dxa"/>
          </w:tcPr>
          <w:p w14:paraId="342F4108" w14:textId="77777777" w:rsidR="00DD63E2" w:rsidRDefault="00824AA9">
            <w:r>
              <w:t>SOC_t = SOC_(t-1) + eta_c*P_charge,t*dt - P_discharge,t*dt/eta_d</w:t>
            </w:r>
          </w:p>
        </w:tc>
        <w:tc>
          <w:tcPr>
            <w:tcW w:w="2592" w:type="dxa"/>
          </w:tcPr>
          <w:p w14:paraId="13DEA15B" w14:textId="77777777" w:rsidR="00DD63E2" w:rsidRDefault="00824AA9">
            <w:r>
              <w:t>Prevents unlimited battery support.</w:t>
            </w:r>
          </w:p>
        </w:tc>
      </w:tr>
      <w:tr w:rsidR="00DD63E2" w14:paraId="11A3BA9A" w14:textId="77777777">
        <w:tc>
          <w:tcPr>
            <w:tcW w:w="2592" w:type="dxa"/>
          </w:tcPr>
          <w:p w14:paraId="74AC8315" w14:textId="77777777" w:rsidR="00DD63E2" w:rsidRDefault="00824AA9">
            <w:r>
              <w:t>M22</w:t>
            </w:r>
          </w:p>
        </w:tc>
        <w:tc>
          <w:tcPr>
            <w:tcW w:w="2592" w:type="dxa"/>
          </w:tcPr>
          <w:p w14:paraId="192DADA0" w14:textId="77777777" w:rsidR="00DD63E2" w:rsidRDefault="00824AA9">
            <w:r>
              <w:t>Demand-response limit</w:t>
            </w:r>
          </w:p>
        </w:tc>
        <w:tc>
          <w:tcPr>
            <w:tcW w:w="2592" w:type="dxa"/>
          </w:tcPr>
          <w:p w14:paraId="086A834F" w14:textId="77777777" w:rsidR="00DD63E2" w:rsidRDefault="00824AA9">
            <w:r>
              <w:t>0 &lt;= DR_t &lt;= DR_max,t</w:t>
            </w:r>
          </w:p>
        </w:tc>
        <w:tc>
          <w:tcPr>
            <w:tcW w:w="2592" w:type="dxa"/>
          </w:tcPr>
          <w:p w14:paraId="793C194E" w14:textId="77777777" w:rsidR="00DD63E2" w:rsidRDefault="00824AA9">
            <w:r>
              <w:t>Caps modeled load reduction to an assumed/available DR capability.</w:t>
            </w:r>
          </w:p>
        </w:tc>
      </w:tr>
    </w:tbl>
    <w:p w14:paraId="513A63C3" w14:textId="77777777" w:rsidR="00DD63E2" w:rsidRDefault="00DD63E2"/>
    <w:p w14:paraId="4812040F" w14:textId="7B70B201" w:rsidR="00DD63E2" w:rsidRDefault="00824AA9">
      <w:r>
        <w:rPr>
          <w:b/>
        </w:rPr>
        <w:t xml:space="preserve">Current status: </w:t>
      </w:r>
      <w:r>
        <w:t xml:space="preserve">The current repo has a validated location-screening and thermal-hosting workflow, supporting validation scripts, five-minute substation-load reconstruction, an active substation-capacity discovery audit, and a working MILP prototype. The immediate path is to resolve or parameterize substation capacity, </w:t>
      </w:r>
      <w:r w:rsidR="00881269">
        <w:t>model</w:t>
      </w:r>
      <w:r>
        <w:t xml:space="preserve"> MILP to one-site selection, expand the candidate pool, and then add battery/DR/flexible-compute decisions followed by Monte Carlo stress testing.</w:t>
      </w:r>
    </w:p>
    <w:sectPr w:rsidR="00DD63E2" w:rsidSect="00034616">
      <w:headerReference w:type="even" r:id="rId8"/>
      <w:headerReference w:type="default" r:id="rId9"/>
      <w:footerReference w:type="default" r:id="rId10"/>
      <w:headerReference w:type="firs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55ED" w14:textId="77777777" w:rsidR="00824AA9" w:rsidRDefault="00824AA9">
      <w:pPr>
        <w:spacing w:after="0" w:line="240" w:lineRule="auto"/>
      </w:pPr>
      <w:r>
        <w:separator/>
      </w:r>
    </w:p>
  </w:endnote>
  <w:endnote w:type="continuationSeparator" w:id="0">
    <w:p w14:paraId="39A132C2" w14:textId="77777777" w:rsidR="00824AA9" w:rsidRDefault="00824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AEA0" w14:textId="77777777" w:rsidR="00DD63E2" w:rsidRDefault="00824AA9">
    <w:pPr>
      <w:pStyle w:val="Footer"/>
      <w:jc w:val="center"/>
    </w:pPr>
    <w:r>
      <w:rPr>
        <w:sz w:val="16"/>
      </w:rPr>
      <w:t>Greensboro Data Center Optimization | Current Project Walkthrough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FC86" w14:textId="77777777" w:rsidR="00824AA9" w:rsidRDefault="00824AA9">
      <w:pPr>
        <w:spacing w:after="0" w:line="240" w:lineRule="auto"/>
      </w:pPr>
      <w:r>
        <w:separator/>
      </w:r>
    </w:p>
  </w:footnote>
  <w:footnote w:type="continuationSeparator" w:id="0">
    <w:p w14:paraId="4DCB8E41" w14:textId="77777777" w:rsidR="00824AA9" w:rsidRDefault="00824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438E" w14:textId="4E81A194" w:rsidR="00881269" w:rsidRDefault="00881269">
    <w:pPr>
      <w:pStyle w:val="Header"/>
    </w:pPr>
    <w:r>
      <w:rPr>
        <w:noProof/>
      </w:rPr>
      <mc:AlternateContent>
        <mc:Choice Requires="wps">
          <w:drawing>
            <wp:anchor distT="0" distB="0" distL="0" distR="0" simplePos="0" relativeHeight="251659264" behindDoc="0" locked="0" layoutInCell="1" allowOverlap="1" wp14:anchorId="5E207C23" wp14:editId="113685B8">
              <wp:simplePos x="635" y="635"/>
              <wp:positionH relativeFrom="page">
                <wp:align>right</wp:align>
              </wp:positionH>
              <wp:positionV relativeFrom="page">
                <wp:align>top</wp:align>
              </wp:positionV>
              <wp:extent cx="1714500" cy="380365"/>
              <wp:effectExtent l="0" t="0" r="0" b="635"/>
              <wp:wrapNone/>
              <wp:docPr id="1180324331" name="Text Box 2"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4500" cy="380365"/>
                      </a:xfrm>
                      <a:prstGeom prst="rect">
                        <a:avLst/>
                      </a:prstGeom>
                      <a:noFill/>
                      <a:ln>
                        <a:noFill/>
                      </a:ln>
                    </wps:spPr>
                    <wps:txbx>
                      <w:txbxContent>
                        <w:p w14:paraId="2F7A83B7" w14:textId="0A1BDD8C"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207C23" id="_x0000_t202" coordsize="21600,21600" o:spt="202" path="m,l,21600r21600,l21600,xe">
              <v:stroke joinstyle="miter"/>
              <v:path gradientshapeok="t" o:connecttype="rect"/>
            </v:shapetype>
            <v:shape id="Text Box 2" o:spid="_x0000_s1026" type="#_x0000_t202" alt="LIMITED DISCLOSURE" style="position:absolute;margin-left:83.8pt;margin-top:0;width:135pt;height:29.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" filled="f" stroked="f">
              <v:fill o:detectmouseclick="t"/>
              <v:textbox style="mso-fit-shape-to-text:t" inset="0,15pt,20pt,0">
                <w:txbxContent>
                  <w:p w14:paraId="2F7A83B7" w14:textId="0A1BDD8C"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8343" w14:textId="74E6D663" w:rsidR="00881269" w:rsidRDefault="00881269">
    <w:pPr>
      <w:pStyle w:val="Header"/>
    </w:pPr>
    <w:r>
      <w:rPr>
        <w:noProof/>
      </w:rPr>
      <mc:AlternateContent>
        <mc:Choice Requires="wps">
          <w:drawing>
            <wp:anchor distT="0" distB="0" distL="0" distR="0" simplePos="0" relativeHeight="251660288" behindDoc="0" locked="0" layoutInCell="1" allowOverlap="1" wp14:anchorId="56BB7B4A" wp14:editId="1DC48821">
              <wp:simplePos x="595313" y="457200"/>
              <wp:positionH relativeFrom="page">
                <wp:align>right</wp:align>
              </wp:positionH>
              <wp:positionV relativeFrom="page">
                <wp:align>top</wp:align>
              </wp:positionV>
              <wp:extent cx="1714500" cy="380365"/>
              <wp:effectExtent l="0" t="0" r="0" b="635"/>
              <wp:wrapNone/>
              <wp:docPr id="1183817866" name="Text Box 3"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4500" cy="380365"/>
                      </a:xfrm>
                      <a:prstGeom prst="rect">
                        <a:avLst/>
                      </a:prstGeom>
                      <a:noFill/>
                      <a:ln>
                        <a:noFill/>
                      </a:ln>
                    </wps:spPr>
                    <wps:txbx>
                      <w:txbxContent>
                        <w:p w14:paraId="5E581F29" w14:textId="75B0543D"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6BB7B4A" id="_x0000_t202" coordsize="21600,21600" o:spt="202" path="m,l,21600r21600,l21600,xe">
              <v:stroke joinstyle="miter"/>
              <v:path gradientshapeok="t" o:connecttype="rect"/>
            </v:shapetype>
            <v:shape id="Text Box 3" o:spid="_x0000_s1027" type="#_x0000_t202" alt="LIMITED DISCLOSURE" style="position:absolute;margin-left:83.8pt;margin-top:0;width:135pt;height:29.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" filled="f" stroked="f">
              <v:fill o:detectmouseclick="t"/>
              <v:textbox style="mso-fit-shape-to-text:t" inset="0,15pt,20pt,0">
                <w:txbxContent>
                  <w:p w14:paraId="5E581F29" w14:textId="75B0543D"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CD22" w14:textId="6459B5C5" w:rsidR="00881269" w:rsidRDefault="00881269">
    <w:pPr>
      <w:pStyle w:val="Header"/>
    </w:pPr>
    <w:r>
      <w:rPr>
        <w:noProof/>
      </w:rPr>
      <mc:AlternateContent>
        <mc:Choice Requires="wps">
          <w:drawing>
            <wp:anchor distT="0" distB="0" distL="0" distR="0" simplePos="0" relativeHeight="251658240" behindDoc="0" locked="0" layoutInCell="1" allowOverlap="1" wp14:anchorId="609F2C64" wp14:editId="1F81EE7A">
              <wp:simplePos x="635" y="635"/>
              <wp:positionH relativeFrom="page">
                <wp:align>right</wp:align>
              </wp:positionH>
              <wp:positionV relativeFrom="page">
                <wp:align>top</wp:align>
              </wp:positionV>
              <wp:extent cx="1714500" cy="380365"/>
              <wp:effectExtent l="0" t="0" r="0" b="635"/>
              <wp:wrapNone/>
              <wp:docPr id="1120372433" name="Text Box 1" descr="LIMITED DISCLOS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4500" cy="380365"/>
                      </a:xfrm>
                      <a:prstGeom prst="rect">
                        <a:avLst/>
                      </a:prstGeom>
                      <a:noFill/>
                      <a:ln>
                        <a:noFill/>
                      </a:ln>
                    </wps:spPr>
                    <wps:txbx>
                      <w:txbxContent>
                        <w:p w14:paraId="30043E13" w14:textId="2DCE36A5"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9F2C64" id="_x0000_t202" coordsize="21600,21600" o:spt="202" path="m,l,21600r21600,l21600,xe">
              <v:stroke joinstyle="miter"/>
              <v:path gradientshapeok="t" o:connecttype="rect"/>
            </v:shapetype>
            <v:shape id="Text Box 1" o:spid="_x0000_s1028" type="#_x0000_t202" alt="LIMITED DISCLOSURE" style="position:absolute;margin-left:83.8pt;margin-top:0;width:135pt;height:29.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" filled="f" stroked="f">
              <v:fill o:detectmouseclick="t"/>
              <v:textbox style="mso-fit-shape-to-text:t" inset="0,15pt,20pt,0">
                <w:txbxContent>
                  <w:p w14:paraId="30043E13" w14:textId="2DCE36A5" w:rsidR="00881269" w:rsidRPr="00881269" w:rsidRDefault="00881269" w:rsidP="00881269">
                    <w:pPr>
                      <w:spacing w:after="0"/>
                      <w:rPr>
                        <w:rFonts w:eastAsia="Aptos" w:cs="Aptos"/>
                        <w:noProof/>
                        <w:color w:val="000000"/>
                        <w:sz w:val="24"/>
                        <w:szCs w:val="24"/>
                      </w:rPr>
                    </w:pPr>
                    <w:r w:rsidRPr="00881269">
                      <w:rPr>
                        <w:rFonts w:eastAsia="Aptos" w:cs="Aptos"/>
                        <w:noProof/>
                        <w:color w:val="000000"/>
                        <w:sz w:val="24"/>
                        <w:szCs w:val="24"/>
                      </w:rPr>
                      <w:t>LIMITED DISCLOSURE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70675">
    <w:abstractNumId w:val="8"/>
  </w:num>
  <w:num w:numId="2" w16cid:durableId="7098803">
    <w:abstractNumId w:val="6"/>
  </w:num>
  <w:num w:numId="3" w16cid:durableId="656497465">
    <w:abstractNumId w:val="5"/>
  </w:num>
  <w:num w:numId="4" w16cid:durableId="861937447">
    <w:abstractNumId w:val="4"/>
  </w:num>
  <w:num w:numId="5" w16cid:durableId="231821107">
    <w:abstractNumId w:val="7"/>
  </w:num>
  <w:num w:numId="6" w16cid:durableId="459570158">
    <w:abstractNumId w:val="3"/>
  </w:num>
  <w:num w:numId="7" w16cid:durableId="1861894046">
    <w:abstractNumId w:val="2"/>
  </w:num>
  <w:num w:numId="8" w16cid:durableId="1096483077">
    <w:abstractNumId w:val="1"/>
  </w:num>
  <w:num w:numId="9" w16cid:durableId="62358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4AA9"/>
    <w:rsid w:val="00881269"/>
    <w:rsid w:val="008F3874"/>
    <w:rsid w:val="00987502"/>
    <w:rsid w:val="00AA1D8D"/>
    <w:rsid w:val="00B47730"/>
    <w:rsid w:val="00CB0664"/>
    <w:rsid w:val="00DD6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20003"/>
  <w14:defaultImageDpi w14:val="300"/>
  <w15:docId w15:val="{1B8E52FC-EA4E-4B1B-9FF9-B0C950C8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0f57b6-af0a-453f-849c-a6628ea4a90f}" enabled="1" method="Privileged" siteId="{02bdb17a-ec32-46d5-94b0-13327f5c783c}"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1954</Words>
  <Characters>11691</Characters>
  <Application>Microsoft Office Word</Application>
  <DocSecurity>0</DocSecurity>
  <Lines>343</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Lundy</cp:lastModifiedBy>
  <cp:revision>2</cp:revision>
  <dcterms:created xsi:type="dcterms:W3CDTF">2026-09-23T18:14:00Z</dcterms:created>
  <dcterms:modified xsi:type="dcterms:W3CDTF">2026-09-23T18:14:00Z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42c786d1,465a51eb,468fa08a</vt:lpwstr>
  </property>
  <property fmtid="{D5CDD505-2E9C-101B-9397-08002B2CF9AE}" pid="3" name="ClassificationContentMarkingHeaderFontProps">
    <vt:lpwstr>#000000,12,Aptos</vt:lpwstr>
  </property>
  <property fmtid="{D5CDD505-2E9C-101B-9397-08002B2CF9AE}" pid="4" name="ClassificationContentMarkingHeaderText">
    <vt:lpwstr>LIMITED DISCLOSURE</vt:lpwstr>
  </property>
</Properties>
</file>