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TaintLab 项目开发与交付过程说明</w:t>
      </w:r>
    </w:p>
    <w:p>
      <w:r>
        <w:rPr>
          <w:b w:val="0"/>
        </w:rPr>
        <w:t xml:space="preserve">本说明用于课程验收和后续维护，按六个开发阶段解释本项目实际做过什么、留下哪些产物、如何核验及哪些事项尚未完成。文档与演示发布版本为 </w:t>
      </w:r>
      <w:r>
        <w:rPr>
          <w:b/>
        </w:rPr>
        <w:t>v2.0.1</w:t>
      </w:r>
      <w:r>
        <w:rPr>
          <w:b w:val="0"/>
        </w:rPr>
        <w:t xml:space="preserve">，Agent 冻结运行核心仍为 </w:t>
      </w:r>
      <w:r>
        <w:rPr>
          <w:b/>
        </w:rPr>
        <w:t>2.0.0</w:t>
      </w:r>
      <w:r>
        <w:rPr>
          <w:b w:val="0"/>
        </w:rPr>
        <w:t>。本轮更新专题手册、演示和验证辅助脚本，不更改正式模型、数据、权限策略或评测口径。</w:t>
      </w:r>
    </w:p>
    <w:p>
      <w:r>
        <w:rPr>
          <w:b w:val="0"/>
        </w:rPr>
        <w:t>系统在 Windows 本机使用 Qwen3-0.6B 提出动作，由 Python 网关确定是否执行；通知、文件和敏感资料均为模拟。已保存的正式记录共 3672 条，包括历史 1296 条与当前版本 2376 条。本轮新采样和演示不增加这些正式分母。操作入口见</w:t>
      </w:r>
      <w:hyperlink r:id="rId11">
        <w:r>
          <w:rPr>
            <w:color w:val="226D68"/>
          </w:rPr>
          <w:t>核心功能手册</w:t>
        </w:r>
      </w:hyperlink>
      <w:r>
        <w:rPr>
          <w:b w:val="0"/>
        </w:rPr>
        <w:t>、</w:t>
      </w:r>
      <w:hyperlink r:id="rId12">
        <w:r>
          <w:rPr>
            <w:color w:val="226D68"/>
          </w:rPr>
          <w:t>综合手册</w:t>
        </w:r>
      </w:hyperlink>
      <w:r>
        <w:rPr>
          <w:b w:val="0"/>
        </w:rPr>
        <w:t>和</w:t>
      </w:r>
      <w:hyperlink r:id="rId13">
        <w:r>
          <w:rPr>
            <w:color w:val="226D68"/>
          </w:rPr>
          <w:t>功能证据矩阵</w:t>
        </w:r>
      </w:hyperlink>
      <w:r>
        <w:rPr>
          <w:b w:val="0"/>
        </w:rPr>
        <w:t>。</w:t>
      </w:r>
    </w:p>
    <w:p>
      <w:pPr>
        <w:pStyle w:val="Heading1"/>
        <w:pageBreakBefore/>
      </w:pPr>
      <w:r>
        <w:t>1 需求分析与技术选型</w:t>
      </w:r>
    </w:p>
    <w:p>
      <w:pPr>
        <w:pStyle w:val="Heading2"/>
      </w:pPr>
      <w:r>
        <w:t>课程要求</w:t>
      </w:r>
    </w:p>
    <w:p>
      <w:r>
        <w:rPr>
          <w:b w:val="0"/>
        </w:rPr>
        <w:t>需要明确系统输入输出、边界、算力条件及验收指标，完成至少 60 条攻击、30 条正常任务的测试，比较无防御、输入过滤、完整污点权限策略，并保留正常读取、通知和导出能力。安全结论必须来自实际状态与独立判定。</w:t>
      </w:r>
    </w:p>
    <w:p>
      <w:pPr>
        <w:pStyle w:val="Heading2"/>
      </w:pPr>
      <w:r>
        <w:t>本项目实际做法</w:t>
      </w:r>
    </w:p>
    <w:p>
      <w:r>
        <w:rPr>
          <w:b w:val="0"/>
        </w:rPr>
        <w:t>输入分成用户任务、用户显式选定的资源与目标、外部正文和规则生成的实验场景。程序签发 TaskGrant；模型不能通过自然语言、JSON 附加字段或文档中的“管理员批准”扩大授权。输出包括获准最终回复、模拟收件箱、虚拟文件、工具事件与来源依赖；模型说“已发送”不等于模拟收件箱实际改变。</w:t>
      </w:r>
    </w:p>
    <w:p>
      <w:r>
        <w:rPr>
          <w:b w:val="0"/>
        </w:rPr>
        <w:t>Qwen3-0.6B 的实际参数数为 596049920，在 0.5B–1.5B 范围内。选择官方 Q8_0 GGUF 和 llama.cpp 便于本地运行、校验固定文件及结构化输出；不采用云端模型。小模型不能稳定完成全部任务，因此需要保留失败、耗尽与解析情况，不能把能力不足解释为防御收益。</w:t>
      </w:r>
    </w:p>
    <w:p>
      <w:r>
        <w:rPr>
          <w:b w:val="0"/>
        </w:rPr>
        <w:t>Python 确定性网关负责权限、信息流及确认，Pydantic 约束公共动作格式。React/TypeScript 提供熟悉的消息流，FastAPI 同源提供生产静态页面、API 和 SSE，避免日常依赖 npm 开发服务。模型原始 token 不流向浏览器；事件先经过服务端可见性投影。</w:t>
      </w:r>
    </w:p>
    <w:p>
      <w:pPr>
        <w:sectPr>
          <w:headerReference w:type="default" r:id="rId9"/>
          <w:footerReference w:type="default" r:id="rId10"/>
          <w:pgSz w:w="11906" w:h="16838"/>
          <w:pgMar w:top="850" w:right="935" w:bottom="794" w:left="935" w:header="369" w:footer="369" w:gutter="0"/>
          <w:cols w:space="720"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374400" cy="55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374400" cy="55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架构示意 可信控制与模拟执行边界</w:t>
      </w:r>
    </w:p>
    <w:p>
      <w:pPr>
        <w:sectPr>
          <w:pgSz w:w="16838" w:h="11906" w:orient="landscape"/>
          <w:pgMar w:top="850" w:right="935" w:bottom="794" w:left="935" w:header="369" w:footer="369" w:gutter="0"/>
          <w:cols w:space="720"/>
          <w:docGrid w:linePitch="360"/>
        </w:sectPr>
      </w:pPr>
    </w:p>
    <w:p>
      <w:r>
        <w:rPr>
          <w:b w:val="0"/>
        </w:rPr>
        <w:t>上图是依据当前代码绘制的架构示意，不是模型内部思维或实际污点轨迹。执行顺序为：用户选择 → FastAPI 边界检查 → 服务端建立授权 → Agent 调用本机模型提出动作 → Registry 继承来源 → Gateway 检查 → 模拟 World 执行或拒绝 → 安全投影/SSE → 页面。独立评测器只读场景答案与实际状态，不把答案提供给 Agent 或策略。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  <w:tblHeader/>
        </w:trPr>
        <w:tc>
          <w:tcPr>
            <w:tcW w:type="dxa" w:w="2381"/>
            <w:shd w:fill="DEEEEA"/>
          </w:tcPr>
          <w:p>
            <w:pPr>
              <w:spacing w:after="100" w:before="100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3798"/>
            <w:shd w:fill="DEEEEA"/>
          </w:tcPr>
          <w:p>
            <w:pPr>
              <w:spacing w:after="100" w:before="100"/>
            </w:pPr>
            <w:r>
              <w:rPr>
                <w:b/>
                <w:sz w:val="18"/>
              </w:rPr>
              <w:t>可观察验收目标</w:t>
            </w:r>
          </w:p>
        </w:tc>
        <w:tc>
          <w:tcPr>
            <w:tcW w:type="dxa" w:w="3798"/>
            <w:shd w:fill="DEEEEA"/>
          </w:tcPr>
          <w:p>
            <w:pPr>
              <w:spacing w:after="100" w:before="100"/>
            </w:pPr>
            <w:r>
              <w:rPr>
                <w:b/>
                <w:sz w:val="18"/>
              </w:rPr>
              <w:t>主要产物</w:t>
            </w:r>
          </w:p>
        </w:tc>
      </w:tr>
      <w:tr>
        <w:trPr>
          <w:cantSplit/>
        </w:trPr>
        <w:tc>
          <w:tcPr>
            <w:tcW w:type="dxa" w:w="2381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F01 Agent 攻防靶场</w:t>
            </w:r>
          </w:p>
        </w:tc>
        <w:tc>
          <w:tcPr>
            <w:tcW w:type="dxa" w:w="3798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四种工具事件与真实模拟交付，能运行注入案例</w:t>
            </w:r>
          </w:p>
        </w:tc>
        <w:tc>
          <w:tcPr>
            <w:tcW w:type="dxa" w:w="3798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对话页、四工具、运行轨迹</w:t>
            </w:r>
          </w:p>
        </w:tc>
      </w:tr>
      <w:tr>
        <w:trPr>
          <w:cantSplit/>
        </w:trPr>
        <w:tc>
          <w:tcPr>
            <w:tcW w:type="dxa" w:w="2381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F02 不可信内容标记</w:t>
            </w:r>
          </w:p>
        </w:tc>
        <w:tc>
          <w:tcPr>
            <w:tcW w:type="dxa" w:w="3798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上传登记和实际读取可区分，标签随派生记录保留</w:t>
            </w:r>
          </w:p>
        </w:tc>
        <w:tc>
          <w:tcPr>
            <w:tcW w:type="dxa" w:w="3798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来源元数据、内容哈希、父节点</w:t>
            </w:r>
          </w:p>
        </w:tc>
      </w:tr>
      <w:tr>
        <w:trPr>
          <w:cantSplit/>
        </w:trPr>
        <w:tc>
          <w:tcPr>
            <w:tcW w:type="dxa" w:w="2381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F03 污点追踪</w:t>
            </w:r>
          </w:p>
        </w:tc>
        <w:tc>
          <w:tcPr>
            <w:tcW w:type="dxa" w:w="3798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来源依赖与信息流检查可回溯，副作用可核验</w:t>
            </w:r>
          </w:p>
        </w:tc>
        <w:tc>
          <w:tcPr>
            <w:tcW w:type="dxa" w:w="3798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Registry DAG、sensitivity_flow_denied 记录</w:t>
            </w:r>
          </w:p>
        </w:tc>
      </w:tr>
      <w:tr>
        <w:trPr>
          <w:cantSplit/>
        </w:trPr>
        <w:tc>
          <w:tcPr>
            <w:tcW w:type="dxa" w:w="2381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F04 权限策略控制</w:t>
            </w:r>
          </w:p>
        </w:tc>
        <w:tc>
          <w:tcPr>
            <w:tcW w:type="dxa" w:w="3798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白名单与确认在副作用前执行</w:t>
            </w:r>
          </w:p>
        </w:tc>
        <w:tc>
          <w:tcPr>
            <w:tcW w:type="dxa" w:w="3798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TaskGrant、网关、确认账本</w:t>
            </w:r>
          </w:p>
        </w:tc>
      </w:tr>
      <w:tr>
        <w:trPr>
          <w:cantSplit/>
        </w:trPr>
        <w:tc>
          <w:tcPr>
            <w:tcW w:type="dxa" w:w="2381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F05 自动化攻击测试</w:t>
            </w:r>
          </w:p>
        </w:tc>
        <w:tc>
          <w:tcPr>
            <w:tcW w:type="dxa" w:w="3798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四种视图从规则生成到真实运行</w:t>
            </w:r>
          </w:p>
        </w:tc>
        <w:tc>
          <w:tcPr>
            <w:tcW w:type="dxa" w:w="3798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模板参数、预览和实际接触记录</w:t>
            </w:r>
          </w:p>
        </w:tc>
      </w:tr>
      <w:tr>
        <w:trPr>
          <w:cantSplit/>
        </w:trPr>
        <w:tc>
          <w:tcPr>
            <w:tcW w:type="dxa" w:w="2381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F06 泄露检测与综合评测</w:t>
            </w:r>
          </w:p>
        </w:tc>
        <w:tc>
          <w:tcPr>
            <w:tcW w:type="dxa" w:w="3798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合成已知泄露被检测，正式指标有分母和证据</w:t>
            </w:r>
          </w:p>
        </w:tc>
        <w:tc>
          <w:tcPr>
            <w:tcW w:type="dxa" w:w="3798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检测器自检、三配置与消融汇总</w:t>
            </w:r>
          </w:p>
        </w:tc>
      </w:tr>
    </w:tbl>
    <w:p>
      <w:pPr>
        <w:spacing w:after="20"/>
      </w:pPr>
    </w:p>
    <w:p>
      <w:pPr>
        <w:pStyle w:val="Heading2"/>
      </w:pPr>
      <w:r>
        <w:t>真实产物与验证证据</w:t>
      </w:r>
    </w:p>
    <w:p>
      <w:r>
        <w:rPr>
          <w:b w:val="0"/>
        </w:rPr>
        <w:t xml:space="preserve">基线正式集为 72 攻击加 36 正常；当前扩展集为 60 攻击加 30 正常。种子为 11、23、47；三主配置之外保留 policy_only 消融。历史 972 主实验加 324 消融独立保留；当前基线 1296 加扩展 1080，均为 local_llama_cpp。规则与冻结哈希在 </w:t>
      </w:r>
      <w:hyperlink r:id="rId15">
        <w:r>
          <w:rPr>
            <w:color w:val="226D68"/>
          </w:rPr>
          <w:t>data/frozen_manifest.json</w:t>
        </w:r>
      </w:hyperlink>
      <w:r>
        <w:rPr>
          <w:b w:val="0"/>
        </w:rPr>
        <w:t>、</w:t>
      </w:r>
      <w:hyperlink r:id="rId16">
        <w:r>
          <w:rPr>
            <w:color w:val="226D68"/>
          </w:rPr>
          <w:t>data/v2/frozen_manifest.json</w:t>
        </w:r>
      </w:hyperlink>
      <w:r>
        <w:rPr>
          <w:b w:val="0"/>
        </w:rPr>
        <w:t>；公开来源映射见</w:t>
      </w:r>
      <w:hyperlink r:id="rId17">
        <w:r>
          <w:rPr>
            <w:color w:val="226D68"/>
          </w:rPr>
          <w:t>来源说明</w:t>
        </w:r>
      </w:hyperlink>
      <w:r>
        <w:rPr>
          <w:b w:val="0"/>
        </w:rPr>
        <w:t>。</w:t>
      </w:r>
    </w:p>
    <w:p>
      <w:pPr>
        <w:pStyle w:val="Heading2"/>
      </w:pPr>
      <w:r>
        <w:t>当前不足和待补充</w:t>
      </w:r>
    </w:p>
    <w:p>
      <w:r>
        <w:rPr>
          <w:b w:val="0"/>
        </w:rPr>
        <w:t>公开来源适配子集不等于 BIPIA 或 InjecAgent 官方完整复现。当前正常完成率有限，不能将未读入攻击或运行耗尽算作安全完成。模型内部精确因果、任意自然语言事实正确性和所有侧信道均不在本实现保证范围内。</w:t>
      </w:r>
    </w:p>
    <w:p>
      <w:pPr>
        <w:pStyle w:val="Heading1"/>
        <w:pageBreakBefore/>
      </w:pPr>
      <w:r>
        <w:t>2 环境搭建与结构化设计</w:t>
      </w:r>
    </w:p>
    <w:p>
      <w:pPr>
        <w:pStyle w:val="Heading2"/>
      </w:pPr>
      <w:r>
        <w:t>课程要求</w:t>
      </w:r>
    </w:p>
    <w:p>
      <w:r>
        <w:rPr>
          <w:b w:val="0"/>
        </w:rPr>
        <w:t>建立可复现环境、模块职责、接口及项目目录，说明运行配置如何锁定，区分实测平台与推测支持。</w:t>
      </w:r>
    </w:p>
    <w:p>
      <w:pPr>
        <w:pStyle w:val="Heading2"/>
      </w:pPr>
      <w:r>
        <w:t>本项目实际做法</w:t>
      </w:r>
    </w:p>
    <w:p>
      <w:r>
        <w:rPr>
          <w:b w:val="0"/>
        </w:rPr>
        <w:t>实测主机为 Windows 11 x64、Python 3.12.10、Intel i7-13620H、16 GB 内存、RTX 4050 Laptop 6 GB。它是验证环境，不是测量得到的最低配置。CPU、AMD、Linux、macOS 未做等效运行验收。前端开发工具链曾使用 Node 24.15.0/npm 11.12.1；日常发布运行使用已构建的 frontend/dist，不需 npm 服务。</w:t>
      </w:r>
    </w:p>
    <w:p>
      <w:r>
        <w:rPr>
          <w:b w:val="0"/>
        </w:rPr>
        <w:t xml:space="preserve">模型锁定 revision 23749fefcc72300e3a2ad315e1317431b06b590a；GGUF SHA256 为 9465e63a22add5354d9bb4b99e90117043c7124007664907259bd16d043bb031。推理程序为 llama.cpp b11889，Windows CUDA 13.4 x64。固定模型和两份 ZIP 总量 1227700721 字节，不含 Python 依赖。完整 URL、长度和哈希见 </w:t>
      </w:r>
      <w:hyperlink r:id="rId18">
        <w:r>
          <w:rPr>
            <w:color w:val="226D68"/>
          </w:rPr>
          <w:t>model.lock.json</w:t>
        </w:r>
      </w:hyperlink>
      <w:r>
        <w:rPr>
          <w:b w:val="0"/>
        </w:rPr>
        <w:t>。</w:t>
      </w:r>
    </w:p>
    <w:p>
      <w:r>
        <w:rPr>
          <w:b w:val="0"/>
        </w:rPr>
        <w:t>上下文每槽 4096 token，服务四槽总上下文 16384；GPU layers 99、固定非思考模式、最大生成 512 token、temperature 0.2、top_p 0.9、top_k 40、min_p 0.05、repeat_penalty 1。任务最多 6 次工具调用、9 生成轮、1 次格式修复及 240 秒预算。以</w:t>
      </w:r>
      <w:hyperlink r:id="rId19">
        <w:r>
          <w:rPr>
            <w:color w:val="226D68"/>
          </w:rPr>
          <w:t>冻结配置</w:t>
        </w:r>
      </w:hyperlink>
      <w:r>
        <w:rPr>
          <w:b w:val="0"/>
        </w:rPr>
        <w:t>和</w:t>
      </w:r>
      <w:hyperlink r:id="rId20">
        <w:r>
          <w:rPr>
            <w:color w:val="226D68"/>
          </w:rPr>
          <w:t>实验锁</w:t>
        </w:r>
      </w:hyperlink>
      <w:r>
        <w:rPr>
          <w:b w:val="0"/>
        </w:rPr>
        <w:t>为准。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3402"/>
            <w:shd w:fill="DEEEEA"/>
          </w:tcPr>
          <w:p>
            <w:pPr>
              <w:spacing w:after="100" w:before="100"/>
            </w:pPr>
            <w:r>
              <w:rPr>
                <w:b/>
                <w:sz w:val="18"/>
              </w:rPr>
              <w:t>目录与模块</w:t>
            </w:r>
          </w:p>
        </w:tc>
        <w:tc>
          <w:tcPr>
            <w:tcW w:type="dxa" w:w="6576"/>
            <w:shd w:fill="DEEEEA"/>
          </w:tcPr>
          <w:p>
            <w:pPr>
              <w:spacing w:after="100" w:before="100"/>
            </w:pPr>
            <w:r>
              <w:rPr>
                <w:b/>
                <w:sz w:val="18"/>
              </w:rPr>
              <w:t>职责及接口</w:t>
            </w:r>
          </w:p>
        </w:tc>
      </w:tr>
      <w:tr>
        <w:trPr>
          <w:cantSplit/>
        </w:trPr>
        <w:tc>
          <w:tcPr>
            <w:tcW w:type="dxa" w:w="3402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src/taintlab/model</w:t>
            </w:r>
          </w:p>
        </w:tc>
        <w:tc>
          <w:tcPr>
            <w:tcW w:type="dxa" w:w="6576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本机客户端与 ACTION 协议，格式约束不提前排除危险但合法格式参数</w:t>
            </w:r>
          </w:p>
        </w:tc>
      </w:tr>
      <w:tr>
        <w:trPr>
          <w:cantSplit/>
        </w:trPr>
        <w:tc>
          <w:tcPr>
            <w:tcW w:type="dxa" w:w="3402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src/taintlab/agent/runtime.py</w:t>
            </w:r>
          </w:p>
        </w:tc>
        <w:tc>
          <w:tcPr>
            <w:tcW w:type="dxa" w:w="6576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Execution.drive、run_case、resume_run；模型提议、反馈、停止和恢复</w:t>
            </w:r>
          </w:p>
        </w:tc>
      </w:tr>
      <w:tr>
        <w:trPr>
          <w:cantSplit/>
        </w:trPr>
        <w:tc>
          <w:tcPr>
            <w:tcW w:type="dxa" w:w="3402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src/taintlab/provenance/registry.py</w:t>
            </w:r>
          </w:p>
        </w:tc>
        <w:tc>
          <w:tcPr>
            <w:tcW w:type="dxa" w:w="6576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source、derive、import_history；程序维护不可变节点及保守标签</w:t>
            </w:r>
          </w:p>
        </w:tc>
      </w:tr>
      <w:tr>
        <w:trPr>
          <w:cantSplit/>
        </w:trPr>
        <w:tc>
          <w:tcPr>
            <w:tcW w:type="dxa" w:w="3402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src/taintlab/policy</w:t>
            </w:r>
          </w:p>
        </w:tc>
        <w:tc>
          <w:tcPr>
            <w:tcW w:type="dxa" w:w="6576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TaskGrant、Gateway.inspect/dispatch、Confirmations；确定性决策</w:t>
            </w:r>
          </w:p>
        </w:tc>
      </w:tr>
      <w:tr>
        <w:trPr>
          <w:cantSplit/>
        </w:trPr>
        <w:tc>
          <w:tcPr>
            <w:tcW w:type="dxa" w:w="3402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src/taintlab/tools/world.py</w:t>
            </w:r>
          </w:p>
        </w:tc>
        <w:tc>
          <w:tcPr>
            <w:tcW w:type="dxa" w:w="6576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本地检索、文档、模拟收件箱与虚拟文件系统</w:t>
            </w:r>
          </w:p>
        </w:tc>
      </w:tr>
      <w:tr>
        <w:trPr>
          <w:cantSplit/>
        </w:trPr>
        <w:tc>
          <w:tcPr>
            <w:tcW w:type="dxa" w:w="3402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src/taintlab/web</w:t>
            </w:r>
          </w:p>
        </w:tc>
        <w:tc>
          <w:tcPr>
            <w:tcW w:type="dxa" w:w="6576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Host/Origin/CSRF、会话归属、上传、事件和安全投影</w:t>
            </w:r>
          </w:p>
        </w:tc>
      </w:tr>
      <w:tr>
        <w:trPr>
          <w:cantSplit/>
        </w:trPr>
        <w:tc>
          <w:tcPr>
            <w:tcW w:type="dxa" w:w="3402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src/taintlab/attacks 与 evaluation</w:t>
            </w:r>
          </w:p>
        </w:tc>
        <w:tc>
          <w:tcPr>
            <w:tcW w:type="dxa" w:w="6576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规则样本生成、独立状态评价、有界 Canary 检测</w:t>
            </w:r>
          </w:p>
        </w:tc>
      </w:tr>
      <w:tr>
        <w:trPr>
          <w:cantSplit/>
        </w:trPr>
        <w:tc>
          <w:tcPr>
            <w:tcW w:type="dxa" w:w="3402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frontend/src 与 frontend/dist</w:t>
            </w:r>
          </w:p>
        </w:tc>
        <w:tc>
          <w:tcPr>
            <w:tcW w:type="dxa" w:w="6576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可编辑网页源码与同源生产资源</w:t>
            </w:r>
          </w:p>
        </w:tc>
      </w:tr>
      <w:tr>
        <w:trPr>
          <w:cantSplit/>
        </w:trPr>
        <w:tc>
          <w:tcPr>
            <w:tcW w:type="dxa" w:w="3402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data、configs、results</w:t>
            </w:r>
          </w:p>
        </w:tc>
        <w:tc>
          <w:tcPr>
            <w:tcW w:type="dxa" w:w="6576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冻结输入、模型/实验锁、按版本保存证据</w:t>
            </w:r>
          </w:p>
        </w:tc>
      </w:tr>
      <w:tr>
        <w:trPr>
          <w:cantSplit/>
        </w:trPr>
        <w:tc>
          <w:tcPr>
            <w:tcW w:type="dxa" w:w="3402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scripts、docs、demo、dist</w:t>
            </w:r>
          </w:p>
        </w:tc>
        <w:tc>
          <w:tcPr>
            <w:tcW w:type="dxa" w:w="6576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准备、启停、验证、文档制作和分发</w:t>
            </w:r>
          </w:p>
        </w:tc>
      </w:tr>
    </w:tbl>
    <w:p>
      <w:pPr>
        <w:spacing w:after="20"/>
      </w:pPr>
    </w:p>
    <w:p>
      <w:pPr>
        <w:pStyle w:val="Heading2"/>
      </w:pPr>
      <w:r>
        <w:t>真实产物与验证证据</w:t>
      </w:r>
    </w:p>
    <w:p>
      <w:r>
        <w:rPr>
          <w:b w:val="0"/>
        </w:rPr>
        <w:t xml:space="preserve">浏览器使用 </w:t>
      </w:r>
      <w:r>
        <w:rPr>
          <w:rFonts w:ascii="Consolas" w:hAnsi="Consolas"/>
          <w:b w:val="0"/>
          <w:sz w:val="17"/>
        </w:rPr>
        <w:t>POST /api/sessions/{sid}/runs</w:t>
      </w:r>
      <w:r>
        <w:rPr>
          <w:b w:val="0"/>
        </w:rPr>
        <w:t xml:space="preserve">，request_id 支持幂等；显式选择形成服务端授权，任意额外字段被拒。确认使用 </w:t>
      </w:r>
      <w:r>
        <w:rPr>
          <w:rFonts w:ascii="Consolas" w:hAnsi="Consolas"/>
          <w:b w:val="0"/>
          <w:sz w:val="17"/>
        </w:rPr>
        <w:t>/confirm</w:t>
      </w:r>
      <w:r>
        <w:rPr>
          <w:b w:val="0"/>
        </w:rPr>
        <w:t xml:space="preserve"> 查找服务端 pending，客户端不提交可执行 checkpoint。SSE 带 session_id、run_id 和顺序号；刷新重连不重新执行副作用。完整接口见 </w:t>
      </w:r>
      <w:hyperlink r:id="rId21">
        <w:r>
          <w:rPr>
            <w:color w:val="226D68"/>
          </w:rPr>
          <w:t>API_CONTRACT.md</w:t>
        </w:r>
      </w:hyperlink>
      <w:r>
        <w:rPr>
          <w:b w:val="0"/>
        </w:rPr>
        <w:t>。</w:t>
      </w:r>
    </w:p>
    <w:p>
      <w:r>
        <w:rPr>
          <w:b w:val="0"/>
        </w:rPr>
        <w:t>首次安装在项目根目录执行以下命令，准备完成后日常只双击两个 CMD。首次下载需要网络，模型与推理二进制不附在源码或轻量包中。</w:t>
      </w:r>
    </w:p>
    <w:p>
      <w:pPr>
        <w:keepLines/>
        <w:spacing w:line="252" w:lineRule="auto" w:before="100"/>
      </w:pPr>
      <w:r>
        <w:rPr>
          <w:rFonts w:ascii="Consolas" w:hAnsi="Consolas"/>
          <w:sz w:val="17"/>
        </w:rPr>
        <w:t>powershell -NoProfile -ExecutionPolicy Bypass -File .\scripts\install.ps1</w:t>
        <w:br/>
        <w:t>.\.venv\Scripts\python.exe .\scripts\model_prepare.py</w:t>
        <w:br/>
        <w:t>.\启动项目.cmd</w:t>
        <w:br/>
        <w:t>.\.venv\Scripts\python.exe .\scripts\project_lifecycle.py status</w:t>
      </w:r>
    </w:p>
    <w:p>
      <w:r>
        <w:rPr>
          <w:b w:val="0"/>
        </w:rPr>
        <w:t xml:space="preserve">界面为 http://127.0.0.1:8501/，模型健康端点为 http://127.0.0.1:8080/health。关闭使用 </w:t>
      </w:r>
      <w:r>
        <w:rPr>
          <w:rFonts w:ascii="Consolas" w:hAnsi="Consolas"/>
          <w:b w:val="0"/>
          <w:sz w:val="17"/>
        </w:rPr>
        <w:t>关闭项目.cmd</w:t>
      </w:r>
      <w:r>
        <w:rPr>
          <w:b w:val="0"/>
        </w:rPr>
        <w:t>；启动器检查完整进程身份、创建时间、端口归属与 HTTP，不按名称或陈旧 PID 杀进程。安装、端口和资源故障见</w:t>
      </w:r>
      <w:hyperlink r:id="rId22">
        <w:r>
          <w:rPr>
            <w:color w:val="226D68"/>
          </w:rPr>
          <w:t>README</w:t>
        </w:r>
      </w:hyperlink>
      <w:r>
        <w:rPr>
          <w:b w:val="0"/>
        </w:rPr>
        <w:t>。</w:t>
      </w:r>
    </w:p>
    <w:p>
      <w:pPr>
        <w:pStyle w:val="Heading2"/>
      </w:pPr>
      <w:r>
        <w:t>当前不足和待补充</w:t>
      </w:r>
    </w:p>
    <w:p>
      <w:r>
        <w:rPr>
          <w:b w:val="0"/>
        </w:rPr>
        <w:t>CUDA 驱动兼容仍取决于实际机器。准备脚本是 Windows/NVIDIA 路线，没有为未验收平台承诺可直接运行。会话 SQLite 和上传资料为本地私有状态，不随公开包分发。</w:t>
      </w:r>
    </w:p>
    <w:p>
      <w:pPr>
        <w:pStyle w:val="Heading1"/>
        <w:pageBreakBefore/>
      </w:pPr>
      <w:r>
        <w:t>3 迭代开发与代码规范</w:t>
      </w:r>
    </w:p>
    <w:p>
      <w:pPr>
        <w:pStyle w:val="Heading2"/>
      </w:pPr>
      <w:r>
        <w:t>课程要求</w:t>
      </w:r>
    </w:p>
    <w:p>
      <w:r>
        <w:rPr>
          <w:b w:val="0"/>
        </w:rPr>
        <w:t>依据真实提交、问题修复和测试组织迭代记录，并提供五人团队的分工与个人工作记录；区分计划、实际贡献和辅助工具。</w:t>
      </w:r>
    </w:p>
    <w:p>
      <w:pPr>
        <w:pStyle w:val="Heading2"/>
      </w:pPr>
      <w:r>
        <w:t>本项目实际做法</w:t>
      </w:r>
    </w:p>
    <w:p>
      <w:r>
        <w:rPr>
          <w:b w:val="0"/>
        </w:rPr>
        <w:t>最初以本地 Agent 与模拟工具构建原型，再补齐来源、策略、独立评测和 Streamlit。2.0 改为 React/FastAPI 对话界面，新增会话控制、停止与来源 DAG 历史导入；由于这些影响运行语义，建立新冻结指纹并重新保存 2376 条可比运行。公开发布随后采用独立白名单快照，不把原仓库整段历史推送为公开开发历史。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3402"/>
            <w:shd w:fill="DEEEEA"/>
          </w:tcPr>
          <w:p>
            <w:pPr>
              <w:spacing w:after="100" w:before="100"/>
            </w:pPr>
            <w:r>
              <w:rPr>
                <w:b/>
                <w:sz w:val="18"/>
              </w:rPr>
              <w:t>真实版本依据</w:t>
            </w:r>
          </w:p>
        </w:tc>
        <w:tc>
          <w:tcPr>
            <w:tcW w:type="dxa" w:w="6576"/>
            <w:shd w:fill="DEEEEA"/>
          </w:tcPr>
          <w:p>
            <w:pPr>
              <w:spacing w:after="100" w:before="100"/>
            </w:pPr>
            <w:r>
              <w:rPr>
                <w:b/>
                <w:sz w:val="18"/>
              </w:rPr>
              <w:t>完成内容与边界</w:t>
            </w:r>
          </w:p>
        </w:tc>
      </w:tr>
      <w:tr>
        <w:trPr>
          <w:cantSplit/>
        </w:trPr>
        <w:tc>
          <w:tcPr>
            <w:tcW w:type="dxa" w:w="3402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原开发 90f6624、472ccaf、d7d56f3</w:t>
            </w:r>
          </w:p>
        </w:tc>
        <w:tc>
          <w:tcPr>
            <w:tcW w:type="dxa" w:w="6576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原型、旧 UI、实验和早期交付；详见原开发日志，非公开仓库早期提交</w:t>
            </w:r>
          </w:p>
        </w:tc>
      </w:tr>
      <w:tr>
        <w:trPr>
          <w:cantSplit/>
        </w:trPr>
        <w:tc>
          <w:tcPr>
            <w:tcW w:type="dxa" w:w="3402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原开发 5c2a75c</w:t>
            </w:r>
          </w:p>
        </w:tc>
        <w:tc>
          <w:tcPr>
            <w:tcW w:type="dxa" w:w="6576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Windows 双击生命周期及默认轻量交付</w:t>
            </w:r>
          </w:p>
        </w:tc>
      </w:tr>
      <w:tr>
        <w:trPr>
          <w:cantSplit/>
        </w:trPr>
        <w:tc>
          <w:tcPr>
            <w:tcW w:type="dxa" w:w="3402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原开发 0c855a0</w:t>
            </w:r>
          </w:p>
        </w:tc>
        <w:tc>
          <w:tcPr>
            <w:tcW w:type="dxa" w:w="6576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2.0 对话版、当前 2376 条正式运行、新 UI 与报告</w:t>
            </w:r>
          </w:p>
        </w:tc>
      </w:tr>
      <w:tr>
        <w:trPr>
          <w:cantSplit/>
        </w:trPr>
        <w:tc>
          <w:tcPr>
            <w:tcW w:type="dxa" w:w="3402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原开发 feae6c7</w:t>
            </w:r>
          </w:p>
        </w:tc>
        <w:tc>
          <w:tcPr>
            <w:tcW w:type="dxa" w:w="6576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v2.0.0 公开准备、综合图文手册和发布校验</w:t>
            </w:r>
          </w:p>
        </w:tc>
      </w:tr>
      <w:tr>
        <w:trPr>
          <w:cantSplit/>
        </w:trPr>
        <w:tc>
          <w:tcPr>
            <w:tcW w:type="dxa" w:w="3402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公开 17fafdb8</w:t>
            </w:r>
          </w:p>
        </w:tc>
        <w:tc>
          <w:tcPr>
            <w:tcW w:type="dxa" w:w="6576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v2.0.0 单一公开快照，来源映射在 PUBLICATION_MANIFEST</w:t>
            </w:r>
          </w:p>
        </w:tc>
      </w:tr>
      <w:tr>
        <w:trPr>
          <w:cantSplit/>
        </w:trPr>
        <w:tc>
          <w:tcPr>
            <w:tcW w:type="dxa" w:w="3402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本轮公开 PR 和合并提交</w:t>
            </w:r>
          </w:p>
        </w:tc>
        <w:tc>
          <w:tcPr>
            <w:tcW w:type="dxa" w:w="6576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在 origin/main 上创建 codex/core-feature-demo；最终提交与 tag 由 Release 清单记录，不伪造尚未发生的哈希</w:t>
            </w:r>
          </w:p>
        </w:tc>
      </w:tr>
    </w:tbl>
    <w:p>
      <w:pPr>
        <w:spacing w:after="20"/>
      </w:pPr>
    </w:p>
    <w:p>
      <w:r>
        <w:rPr>
          <w:b w:val="0"/>
        </w:rPr>
        <w:t>原开发与公开仓库是两条不同历史。上述原提交可在本机原仓库检查；不能把 GitHub 上不存在的提交链接当作公共证据。公开同步按文件白名单及来源哈希建立对应，不使用 allow-unrelated-histories 或强推。过程原件见</w:t>
      </w:r>
      <w:hyperlink r:id="rId23">
        <w:r>
          <w:rPr>
            <w:color w:val="226D68"/>
          </w:rPr>
          <w:t>实际开发记录</w:t>
        </w:r>
      </w:hyperlink>
      <w:r>
        <w:rPr>
          <w:b w:val="0"/>
        </w:rPr>
        <w:t>、</w:t>
      </w:r>
      <w:hyperlink r:id="rId24">
        <w:r>
          <w:rPr>
            <w:color w:val="226D68"/>
          </w:rPr>
          <w:t>2.0 开发记录</w:t>
        </w:r>
      </w:hyperlink>
      <w:r>
        <w:rPr>
          <w:b w:val="0"/>
        </w:rPr>
        <w:t>及</w:t>
      </w:r>
      <w:hyperlink r:id="rId25">
        <w:r>
          <w:rPr>
            <w:color w:val="226D68"/>
          </w:rPr>
          <w:t>发布规则</w:t>
        </w:r>
      </w:hyperlink>
      <w:r>
        <w:rPr>
          <w:b w:val="0"/>
        </w:rPr>
        <w:t>。</w:t>
      </w:r>
    </w:p>
    <w:p>
      <w:r>
        <w:rPr>
          <w:b w:val="0"/>
        </w:rPr>
        <w:t>实际修复包括：小模型读取后提前 final 时增加所有模式共享的任务/交付反馈；Windows venv 子进程识别与 detached 启动；上传解析工作进程超时退出；审计视图的有界编码与片段遮蔽；SQLite 连接关闭；安装脚本对 PowerShell 5.1 参数引号和 Python 发现的处理。失败前证据均保留。此列表不表示本轮重新修改了这些模块。</w:t>
      </w:r>
    </w:p>
    <w:p>
      <w:pPr>
        <w:pStyle w:val="Heading2"/>
      </w:pPr>
      <w:r>
        <w:t>真实产物与验证证据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3402"/>
            <w:shd w:fill="DEEEEA"/>
          </w:tcPr>
          <w:p>
            <w:pPr>
              <w:spacing w:after="100" w:before="100"/>
            </w:pPr>
            <w:r>
              <w:rPr>
                <w:b/>
                <w:sz w:val="18"/>
              </w:rPr>
              <w:t>测试文件</w:t>
            </w:r>
          </w:p>
        </w:tc>
        <w:tc>
          <w:tcPr>
            <w:tcW w:type="dxa" w:w="6576"/>
            <w:shd w:fill="DEEEEA"/>
          </w:tcPr>
          <w:p>
            <w:pPr>
              <w:spacing w:after="100" w:before="100"/>
            </w:pPr>
            <w:r>
              <w:rPr>
                <w:b/>
                <w:sz w:val="18"/>
              </w:rPr>
              <w:t>核验的实际行为</w:t>
            </w:r>
          </w:p>
        </w:tc>
      </w:tr>
      <w:tr>
        <w:trPr>
          <w:cantSplit/>
        </w:trPr>
        <w:tc>
          <w:tcPr>
            <w:tcW w:type="dxa" w:w="3402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tests/test_security.py、test_additional_security.py</w:t>
            </w:r>
          </w:p>
        </w:tc>
        <w:tc>
          <w:tcPr>
            <w:tcW w:type="dxa" w:w="6576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标签传播、白名单、敏感流、被拒绝动作无副作用、未知来源保守处理</w:t>
            </w:r>
          </w:p>
        </w:tc>
      </w:tr>
      <w:tr>
        <w:trPr>
          <w:cantSplit/>
        </w:trPr>
        <w:tc>
          <w:tcPr>
            <w:tcW w:type="dxa" w:w="3402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tests/test_web_service.py、test_web_security_review.py</w:t>
            </w:r>
          </w:p>
        </w:tc>
        <w:tc>
          <w:tcPr>
            <w:tcW w:type="dxa" w:w="6576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会话归属、同源控制、投影、幂等、停止与确认竞争</w:t>
            </w:r>
          </w:p>
        </w:tc>
      </w:tr>
      <w:tr>
        <w:trPr>
          <w:cantSplit/>
        </w:trPr>
        <w:tc>
          <w:tcPr>
            <w:tcW w:type="dxa" w:w="3402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tests/test_uploads.py</w:t>
            </w:r>
          </w:p>
        </w:tc>
        <w:tc>
          <w:tcPr>
            <w:tcW w:type="dxa" w:w="6576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文本型 PDF/DOCX、展开限制、超时、扫描 PDF 提示</w:t>
            </w:r>
          </w:p>
        </w:tc>
      </w:tr>
      <w:tr>
        <w:trPr>
          <w:cantSplit/>
        </w:trPr>
        <w:tc>
          <w:tcPr>
            <w:tcW w:type="dxa" w:w="3402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tests/test_external_canary_controls.py</w:t>
            </w:r>
          </w:p>
        </w:tc>
        <w:tc>
          <w:tcPr>
            <w:tcW w:type="dxa" w:w="6576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精确、编码、分片阳性及阴性检测对照</w:t>
            </w:r>
          </w:p>
        </w:tc>
      </w:tr>
      <w:tr>
        <w:trPr>
          <w:cantSplit/>
        </w:trPr>
        <w:tc>
          <w:tcPr>
            <w:tcW w:type="dxa" w:w="3402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tests/test_evaluation.py、test_external_adapter.py</w:t>
            </w:r>
          </w:p>
        </w:tc>
        <w:tc>
          <w:tcPr>
            <w:tcW w:type="dxa" w:w="6576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实际状态评价、数据映射与分母，不能依赖模型自评</w:t>
            </w:r>
          </w:p>
        </w:tc>
      </w:tr>
      <w:tr>
        <w:trPr>
          <w:cantSplit/>
        </w:trPr>
        <w:tc>
          <w:tcPr>
            <w:tcW w:type="dxa" w:w="3402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tests/test_launcher.py、test_launcher_acceptance.py</w:t>
            </w:r>
          </w:p>
        </w:tc>
        <w:tc>
          <w:tcPr>
            <w:tcW w:type="dxa" w:w="6576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进程身份、PID 重用、配额、并发启动和回滚范围</w:t>
            </w:r>
          </w:p>
        </w:tc>
      </w:tr>
      <w:tr>
        <w:trPr>
          <w:cantSplit/>
        </w:trPr>
        <w:tc>
          <w:tcPr>
            <w:tcW w:type="dxa" w:w="3402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tests/test_installation.py、test_packaging.py、test_publication.py</w:t>
            </w:r>
          </w:p>
        </w:tc>
        <w:tc>
          <w:tcPr>
            <w:tcW w:type="dxa" w:w="6576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安装分支、文件白名单、公开投影与清单一致性</w:t>
            </w:r>
          </w:p>
        </w:tc>
      </w:tr>
    </w:tbl>
    <w:p>
      <w:pPr>
        <w:spacing w:after="20"/>
      </w:pPr>
    </w:p>
    <w:p>
      <w:r>
        <w:rPr>
          <w:b w:val="0"/>
        </w:rPr>
        <w:t>测试代码存在不代表已经运行。2.0 交付时历史全量为 397 通过，v2.0.0 公开发布轮为 413 通过，证据各自保留。本轮重新执行的范围、结果和 JUnit 另列于第 4 阶段，不能沿用历史数字当成本轮结果。</w:t>
      </w:r>
    </w:p>
    <w:p>
      <w:pPr>
        <w:pStyle w:val="Heading2"/>
      </w:pPr>
      <w:r>
        <w:t>当前不足和待补充</w:t>
      </w:r>
    </w:p>
    <w:p>
      <w:r>
        <w:rPr>
          <w:b w:val="0"/>
        </w:rPr>
        <w:t>五个成员位置由课程要求提供，</w:t>
      </w:r>
      <w:r>
        <w:rPr>
          <w:b/>
        </w:rPr>
        <w:t>不表示已确认五位实际成员</w:t>
      </w:r>
      <w:r>
        <w:rPr>
          <w:b w:val="0"/>
        </w:rPr>
        <w:t>。建议职责为核心运行时、安全机制、数据与评测、交互与工具链、验证与交付；实际姓名、学号、任务归属及人工工时都待补充。AI 代理是辅助工具，不是小组成员；自动化运行时间、模型时间和提交行数不等于成员工时。五人模板见第 6 阶段末尾及</w:t>
      </w:r>
      <w:hyperlink r:id="rId26">
        <w:r>
          <w:rPr>
            <w:color w:val="226D68"/>
          </w:rPr>
          <w:t>可编辑 CSV</w:t>
        </w:r>
      </w:hyperlink>
      <w:r>
        <w:rPr>
          <w:b w:val="0"/>
        </w:rPr>
        <w:t>。</w:t>
      </w:r>
    </w:p>
    <w:p>
      <w:pPr>
        <w:pStyle w:val="Heading1"/>
        <w:pageBreakBefore/>
      </w:pPr>
      <w:r>
        <w:t>4 集成测试与优化</w:t>
      </w:r>
    </w:p>
    <w:p>
      <w:pPr>
        <w:pStyle w:val="Heading2"/>
      </w:pPr>
      <w:r>
        <w:t>课程要求</w:t>
      </w:r>
    </w:p>
    <w:p>
      <w:r>
        <w:rPr>
          <w:b w:val="0"/>
        </w:rPr>
        <w:t>验证功能、异常、安全和性能，记录真实调用量、时延、失败及进程内存，解释优化依据而非只给“测试通过”。</w:t>
      </w:r>
    </w:p>
    <w:p>
      <w:pPr>
        <w:pStyle w:val="Heading2"/>
      </w:pPr>
      <w:r>
        <w:t>本项目实际做法</w:t>
      </w:r>
    </w:p>
    <w:p>
      <w:r>
        <w:rPr>
          <w:b w:val="0"/>
        </w:rPr>
        <w:t>测试层分为程序夹具、真实本地模型操作、正式实验复算、浏览器/Windows 验收和媒体文档检查。模拟后端只用于明确标识的程序测试；真实任务的 backend_type 为 local_llama_cpp。F03 使用正常任务的信息流拒绝轨迹，不把普通收件人白名单拒绝当作污点流检查证据。F06 自检使用合成输入直接调用现有检测器，结果不计入正式 ASR。</w:t>
      </w:r>
    </w:p>
    <w:p>
      <w:pPr>
        <w:pStyle w:val="Heading2"/>
      </w:pPr>
      <w:r>
        <w:t>真实产物与验证证据</w:t>
      </w:r>
    </w:p>
    <w:p>
      <w:r>
        <w:rPr>
          <w:b w:val="0"/>
        </w:rPr>
        <w:t xml:space="preserve">本轮只读聚合当前两组正式记录，未新增模型调用。2376 次运行保存了 </w:t>
      </w:r>
      <w:r>
        <w:rPr>
          <w:b/>
        </w:rPr>
        <w:t>7435 次模型调用、5059 次工具调用、4541284 输入 token、212495 输出 token</w:t>
      </w:r>
      <w:r>
        <w:rPr>
          <w:b w:val="0"/>
        </w:rPr>
        <w:t>；状态为 completed 2244 次、exhausted 132 次，保存的解析失败次数为 0。completed 仅表示执行循环结束，不保证合法任务断言通过。</w:t>
      </w:r>
    </w:p>
    <w:p>
      <w:r>
        <w:rPr>
          <w:b w:val="0"/>
        </w:rPr>
        <w:t xml:space="preserve">保存的逐运行耗时均值为 </w:t>
      </w:r>
      <w:r>
        <w:rPr>
          <w:b/>
        </w:rPr>
        <w:t>3.718 秒</w:t>
      </w:r>
      <w:r>
        <w:rPr>
          <w:b w:val="0"/>
        </w:rPr>
        <w:t xml:space="preserve">，中位数 </w:t>
      </w:r>
      <w:r>
        <w:rPr>
          <w:b/>
        </w:rPr>
        <w:t>3.422 秒</w:t>
      </w:r>
      <w:r>
        <w:rPr>
          <w:b w:val="0"/>
        </w:rPr>
        <w:t xml:space="preserve">，最近秩 P95 </w:t>
      </w:r>
      <w:r>
        <w:rPr>
          <w:b/>
        </w:rPr>
        <w:t>7.844 秒</w:t>
      </w:r>
      <w:r>
        <w:rPr>
          <w:b w:val="0"/>
        </w:rPr>
        <w:t xml:space="preserve">，最大 </w:t>
      </w:r>
      <w:r>
        <w:rPr>
          <w:b/>
        </w:rPr>
        <w:t>13.140 秒</w:t>
      </w:r>
      <w:r>
        <w:rPr>
          <w:b w:val="0"/>
        </w:rPr>
        <w:t>。这些是已有记录的延迟观察，不是本轮受控性能基准，不等于批量总墙钟时间，也不能据此宣称优化提升百分比。可复算命令及输出如下。</w:t>
      </w:r>
    </w:p>
    <w:p>
      <w:pPr>
        <w:keepLines/>
        <w:spacing w:line="252" w:lineRule="auto" w:before="100"/>
      </w:pPr>
      <w:r>
        <w:rPr>
          <w:rFonts w:ascii="Consolas" w:hAnsi="Consolas"/>
          <w:sz w:val="17"/>
        </w:rPr>
        <w:t>.\.venv\Scripts\python.exe scripts/summarize_delivery_evidence.py</w:t>
      </w:r>
    </w:p>
    <w:p>
      <w:r>
        <w:rPr>
          <w:b w:val="0"/>
        </w:rPr>
        <w:t>来源：</w:t>
      </w:r>
      <w:hyperlink r:id="rId27">
        <w:r>
          <w:rPr>
            <w:color w:val="226D68"/>
          </w:rPr>
          <w:t>formal_summary.json</w:t>
        </w:r>
      </w:hyperlink>
      <w:r>
        <w:rPr>
          <w:b w:val="0"/>
        </w:rPr>
        <w:t>。新内存测量与这些历史汇总分别保存。</w:t>
      </w:r>
    </w:p>
    <w:p>
      <w:r>
        <w:rPr>
          <w:b w:val="0"/>
        </w:rPr>
        <w:t xml:space="preserve">本轮于 2026-10-27 新做一次小规模真实采样：原模型和 Python Web 服务已暖机，先空闲 4 秒，顺序执行读取、查询、通知、导出，再空闲 4 秒。使用 Windows GetProcessMemoryInfo 读取实际监听进程的 WorkingSetSize 与 PrivateUsage，标称每 0.5 秒采样；实际相邻间隔中位数 0.515 秒、范围约 0.500–0.516 秒，共 88 条进程观测。只测两个实际服务进程，未把浏览器、采样客户端和 venv 转发父进程计入。字段含义依据 </w:t>
      </w:r>
      <w:hyperlink r:id="rId28">
        <w:r>
          <w:rPr>
            <w:color w:val="226D68"/>
          </w:rPr>
          <w:t>Microsoft PROCESS_MEMORY_COUNTERS_EX</w:t>
        </w:r>
      </w:hyperlink>
      <w:r>
        <w:rPr>
          <w:b w:val="0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/>
        </w:trPr>
        <w:tc>
          <w:tcPr>
            <w:tcW w:type="dxa" w:w="2494"/>
            <w:shd w:fill="DEEEEA"/>
          </w:tcPr>
          <w:p>
            <w:pPr>
              <w:spacing w:after="100" w:before="100"/>
            </w:pPr>
            <w:r>
              <w:rPr>
                <w:b/>
                <w:sz w:val="18"/>
              </w:rPr>
              <w:t>进程与阶段</w:t>
            </w:r>
          </w:p>
        </w:tc>
        <w:tc>
          <w:tcPr>
            <w:tcW w:type="dxa" w:w="2494"/>
            <w:shd w:fill="DEEEEA"/>
          </w:tcPr>
          <w:p>
            <w:pPr>
              <w:spacing w:after="100" w:before="100"/>
            </w:pPr>
            <w:r>
              <w:rPr>
                <w:b/>
                <w:sz w:val="18"/>
              </w:rPr>
              <w:t>工作集 MiB</w:t>
            </w:r>
          </w:p>
        </w:tc>
        <w:tc>
          <w:tcPr>
            <w:tcW w:type="dxa" w:w="2494"/>
            <w:shd w:fill="DEEEEA"/>
          </w:tcPr>
          <w:p>
            <w:pPr>
              <w:spacing w:after="100" w:before="100"/>
            </w:pPr>
            <w:r>
              <w:rPr>
                <w:b/>
                <w:sz w:val="18"/>
              </w:rPr>
              <w:t>私有提交 MiB</w:t>
            </w:r>
          </w:p>
        </w:tc>
        <w:tc>
          <w:tcPr>
            <w:tcW w:type="dxa" w:w="2494"/>
            <w:shd w:fill="DEEEEA"/>
          </w:tcPr>
          <w:p>
            <w:pPr>
              <w:spacing w:after="100" w:before="100"/>
            </w:pPr>
            <w:r>
              <w:rPr>
                <w:b/>
                <w:sz w:val="18"/>
              </w:rPr>
              <w:t>统计方式</w:t>
            </w:r>
          </w:p>
        </w:tc>
      </w:tr>
      <w:tr>
        <w:trPr>
          <w:cantSplit/>
        </w:trPr>
        <w:tc>
          <w:tcPr>
            <w:tcW w:type="dxa" w:w="2494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Python Web 任务前空闲</w:t>
            </w:r>
          </w:p>
        </w:tc>
        <w:tc>
          <w:tcPr>
            <w:tcW w:type="dxa" w:w="2494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38.02</w:t>
            </w:r>
          </w:p>
        </w:tc>
        <w:tc>
          <w:tcPr>
            <w:tcW w:type="dxa" w:w="2494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50.02</w:t>
            </w:r>
          </w:p>
        </w:tc>
        <w:tc>
          <w:tcPr>
            <w:tcW w:type="dxa" w:w="2494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空闲样本中位数</w:t>
            </w:r>
          </w:p>
        </w:tc>
      </w:tr>
      <w:tr>
        <w:trPr>
          <w:cantSplit/>
        </w:trPr>
        <w:tc>
          <w:tcPr>
            <w:tcW w:type="dxa" w:w="2494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Python Web 四任务期间</w:t>
            </w:r>
          </w:p>
        </w:tc>
        <w:tc>
          <w:tcPr>
            <w:tcW w:type="dxa" w:w="2494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42.93</w:t>
            </w:r>
          </w:p>
        </w:tc>
        <w:tc>
          <w:tcPr>
            <w:tcW w:type="dxa" w:w="2494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52.56</w:t>
            </w:r>
          </w:p>
        </w:tc>
        <w:tc>
          <w:tcPr>
            <w:tcW w:type="dxa" w:w="2494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运行阶段观测最大值</w:t>
            </w:r>
          </w:p>
        </w:tc>
      </w:tr>
      <w:tr>
        <w:trPr>
          <w:cantSplit/>
        </w:trPr>
        <w:tc>
          <w:tcPr>
            <w:tcW w:type="dxa" w:w="2494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llama-server 任务前空闲</w:t>
            </w:r>
          </w:p>
        </w:tc>
        <w:tc>
          <w:tcPr>
            <w:tcW w:type="dxa" w:w="2494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680.38</w:t>
            </w:r>
          </w:p>
        </w:tc>
        <w:tc>
          <w:tcPr>
            <w:tcW w:type="dxa" w:w="2494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3136.68</w:t>
            </w:r>
          </w:p>
        </w:tc>
        <w:tc>
          <w:tcPr>
            <w:tcW w:type="dxa" w:w="2494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空闲样本中位数</w:t>
            </w:r>
          </w:p>
        </w:tc>
      </w:tr>
      <w:tr>
        <w:trPr>
          <w:cantSplit/>
        </w:trPr>
        <w:tc>
          <w:tcPr>
            <w:tcW w:type="dxa" w:w="2494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llama-server 四任务期间</w:t>
            </w:r>
          </w:p>
        </w:tc>
        <w:tc>
          <w:tcPr>
            <w:tcW w:type="dxa" w:w="2494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988.94</w:t>
            </w:r>
          </w:p>
        </w:tc>
        <w:tc>
          <w:tcPr>
            <w:tcW w:type="dxa" w:w="2494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3412.74</w:t>
            </w:r>
          </w:p>
        </w:tc>
        <w:tc>
          <w:tcPr>
            <w:tcW w:type="dxa" w:w="2494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运行阶段观测最大值</w:t>
            </w:r>
          </w:p>
        </w:tc>
      </w:tr>
    </w:tbl>
    <w:p>
      <w:pPr>
        <w:spacing w:after="20"/>
      </w:pPr>
    </w:p>
    <w:p>
      <w:r>
        <w:rPr>
          <w:b w:val="0"/>
        </w:rPr>
        <w:t>WorkingSetSize 是当前驻留工作集，可包含共享页面；PrivateUsage 是私有提交量，不等于全部驻留 RAM。表中峰值是按间隔实际观测到的最大值，不保证捕获瞬时峰值，也不是进程自启动以来的峰值。设备显存由 nvidia-smi 标称每秒采一次，共 20 条快照，观测最大 3938 MiB；它可能包含其他应用，</w:t>
      </w:r>
      <w:r>
        <w:rPr>
          <w:b/>
        </w:rPr>
        <w:t>不是模型进程独占显存</w:t>
      </w:r>
      <w:r>
        <w:rPr>
          <w:b w:val="0"/>
        </w:rPr>
        <w:t>。没有把 16 GB/6 GB 硬件容量当作实测占用。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  <w:tblHeader/>
        </w:trPr>
        <w:tc>
          <w:tcPr>
            <w:tcW w:type="dxa" w:w="2381"/>
            <w:shd w:fill="DEEEEA"/>
          </w:tcPr>
          <w:p>
            <w:pPr>
              <w:spacing w:after="100" w:before="100"/>
            </w:pPr>
            <w:r>
              <w:rPr>
                <w:b/>
                <w:sz w:val="18"/>
              </w:rPr>
              <w:t>新采样任务</w:t>
            </w:r>
          </w:p>
        </w:tc>
        <w:tc>
          <w:tcPr>
            <w:tcW w:type="dxa" w:w="3798"/>
            <w:shd w:fill="DEEEEA"/>
          </w:tcPr>
          <w:p>
            <w:pPr>
              <w:spacing w:after="100" w:before="100"/>
            </w:pPr>
            <w:r>
              <w:rPr>
                <w:b/>
                <w:sz w:val="18"/>
              </w:rPr>
              <w:t>实际 run_id</w:t>
            </w:r>
          </w:p>
        </w:tc>
        <w:tc>
          <w:tcPr>
            <w:tcW w:type="dxa" w:w="3798"/>
            <w:shd w:fill="DEEEEA"/>
          </w:tcPr>
          <w:p>
            <w:pPr>
              <w:spacing w:after="100" w:before="100"/>
            </w:pPr>
            <w:r>
              <w:rPr>
                <w:b/>
                <w:sz w:val="18"/>
              </w:rPr>
              <w:t>客户端墙钟耗时与工具数</w:t>
            </w:r>
          </w:p>
        </w:tc>
      </w:tr>
      <w:tr>
        <w:trPr>
          <w:cantSplit/>
        </w:trPr>
        <w:tc>
          <w:tcPr>
            <w:tcW w:type="dxa" w:w="2381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读取</w:t>
            </w:r>
          </w:p>
        </w:tc>
        <w:tc>
          <w:tcPr>
            <w:tcW w:type="dxa" w:w="3798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81cdb1f9a72147858790fd1aac9c13df</w:t>
            </w:r>
          </w:p>
        </w:tc>
        <w:tc>
          <w:tcPr>
            <w:tcW w:type="dxa" w:w="3798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2.656 秒，1 次工具</w:t>
            </w:r>
          </w:p>
        </w:tc>
      </w:tr>
      <w:tr>
        <w:trPr>
          <w:cantSplit/>
        </w:trPr>
        <w:tc>
          <w:tcPr>
            <w:tcW w:type="dxa" w:w="2381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查询</w:t>
            </w:r>
          </w:p>
        </w:tc>
        <w:tc>
          <w:tcPr>
            <w:tcW w:type="dxa" w:w="3798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966fa7bba99a441ebdc85619d1225e07</w:t>
            </w:r>
          </w:p>
        </w:tc>
        <w:tc>
          <w:tcPr>
            <w:tcW w:type="dxa" w:w="3798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2.359 秒，1 次工具</w:t>
            </w:r>
          </w:p>
        </w:tc>
      </w:tr>
      <w:tr>
        <w:trPr>
          <w:cantSplit/>
        </w:trPr>
        <w:tc>
          <w:tcPr>
            <w:tcW w:type="dxa" w:w="2381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通知</w:t>
            </w:r>
          </w:p>
        </w:tc>
        <w:tc>
          <w:tcPr>
            <w:tcW w:type="dxa" w:w="3798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1f5a18f519114a4eacd137faf2b8bcb3</w:t>
            </w:r>
          </w:p>
        </w:tc>
        <w:tc>
          <w:tcPr>
            <w:tcW w:type="dxa" w:w="3798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3.672 秒，2 次工具</w:t>
            </w:r>
          </w:p>
        </w:tc>
      </w:tr>
      <w:tr>
        <w:trPr>
          <w:cantSplit/>
        </w:trPr>
        <w:tc>
          <w:tcPr>
            <w:tcW w:type="dxa" w:w="2381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导出</w:t>
            </w:r>
          </w:p>
        </w:tc>
        <w:tc>
          <w:tcPr>
            <w:tcW w:type="dxa" w:w="3798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313331c11db947ceab813040a27dfa74</w:t>
            </w:r>
          </w:p>
        </w:tc>
        <w:tc>
          <w:tcPr>
            <w:tcW w:type="dxa" w:w="3798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3.859 秒，2 次工具</w:t>
            </w:r>
          </w:p>
        </w:tc>
      </w:tr>
    </w:tbl>
    <w:p>
      <w:pPr>
        <w:spacing w:after="20"/>
      </w:pPr>
    </w:p>
    <w:p>
      <w:r>
        <w:rPr>
          <w:b w:val="0"/>
        </w:rPr>
        <w:t xml:space="preserve">四项均为 local_llama_cpp、最终 completed 且实际状态和关键内容断言通过。通知与导出使用测量客户端调用真实确认接口，耗时包含 API 轮询与自动确认，不代表人手确认速度。四项合计 10 次模型调用和 6 次工具调用，是本轮额外验收，未混入正式分母。可公开摘要见 </w:t>
      </w:r>
      <w:hyperlink r:id="rId29">
        <w:r>
          <w:rPr>
            <w:color w:val="226D68"/>
          </w:rPr>
          <w:t>performance_summary.json</w:t>
        </w:r>
      </w:hyperlink>
      <w:r>
        <w:rPr>
          <w:b w:val="0"/>
        </w:rPr>
        <w:t>，原始带 PID 证据保留本机；公开数值投影可复算但不携带会话凭据。</w:t>
      </w:r>
    </w:p>
    <w:p>
      <w:pPr>
        <w:keepLines/>
        <w:spacing w:line="252" w:lineRule="auto" w:before="100"/>
      </w:pPr>
      <w:r>
        <w:rPr>
          <w:rFonts w:ascii="Consolas" w:hAnsi="Consolas"/>
          <w:sz w:val="17"/>
        </w:rPr>
        <w:t>.\.venv\Scripts\python.exe scripts/sample_runtime_memory.py --execute --output-dir results/core_features/performance/reproduction_01 --interval 0.5 --gpu-interval 1 --idle-seconds 4 --seed 11</w:t>
      </w:r>
    </w:p>
    <w:p>
      <w:r>
        <w:rPr>
          <w:b w:val="0"/>
        </w:rPr>
        <w:t>复现时选择尚不存在的新输出目录，并确保没有其他本项目活动任务。结果依赖暖机、系统负载和驱动，未做“优化前后”的因果比较。</w:t>
      </w:r>
    </w:p>
    <w:p>
      <w:r>
        <w:rPr>
          <w:b w:val="0"/>
        </w:rPr>
        <w:t xml:space="preserve">本轮新增辅助脚本定向测试 </w:t>
      </w:r>
      <w:r>
        <w:rPr>
          <w:b/>
        </w:rPr>
        <w:t>19 项通过，0 失败，0.62 秒</w:t>
      </w:r>
      <w:r>
        <w:rPr>
          <w:b w:val="0"/>
        </w:rPr>
        <w:t xml:space="preserve">，见 </w:t>
      </w:r>
      <w:hyperlink r:id="rId30">
        <w:r>
          <w:rPr>
            <w:color w:val="226D68"/>
          </w:rPr>
          <w:t>helper_tests.xml</w:t>
        </w:r>
      </w:hyperlink>
      <w:r>
        <w:rPr>
          <w:b w:val="0"/>
        </w:rPr>
        <w:t xml:space="preserve">：7 项检查文档/统计语义、8 项检查内存采样、4 项检查 Canary 自检调用。随后全套 </w:t>
      </w:r>
      <w:r>
        <w:rPr>
          <w:b/>
        </w:rPr>
        <w:t>465 项通过，0 失败，152.00 秒</w:t>
      </w:r>
      <w:r>
        <w:rPr>
          <w:b w:val="0"/>
        </w:rPr>
        <w:t xml:space="preserve">，见 </w:t>
      </w:r>
      <w:hyperlink r:id="rId31">
        <w:r>
          <w:rPr>
            <w:color w:val="226D68"/>
          </w:rPr>
          <w:t>pytest.xml</w:t>
        </w:r>
      </w:hyperlink>
      <w:r>
        <w:rPr>
          <w:b w:val="0"/>
        </w:rPr>
        <w:t xml:space="preserve">；有一条 Starlette/httpx 弃用提示。后续下载目标验证新增 3 项，与 7 项文档回归合跑 </w:t>
      </w:r>
      <w:r>
        <w:rPr>
          <w:b/>
        </w:rPr>
        <w:t>10 项通过</w:t>
      </w:r>
      <w:r>
        <w:rPr>
          <w:b w:val="0"/>
        </w:rPr>
        <w:t xml:space="preserve">，见 </w:t>
      </w:r>
      <w:hyperlink r:id="rId32">
        <w:r>
          <w:rPr>
            <w:color w:val="226D68"/>
          </w:rPr>
          <w:t>release_docs_tests.xml</w:t>
        </w:r>
      </w:hyperlink>
      <w:r>
        <w:rPr>
          <w:b w:val="0"/>
        </w:rPr>
        <w:t>。这些是程序测试，不是攻击实验；重叠子集不与全量总数相加。</w:t>
      </w:r>
    </w:p>
    <w:p>
      <w:r>
        <w:rPr>
          <w:b w:val="0"/>
        </w:rPr>
        <w:t xml:space="preserve">Canary 机制自检实际执行 7 个合成对照：原文阳性、近似文本阴性、Unicode 规范化、两层 Base64、同出口分片、跨出口分片及三层编码超出当前解码范围。输出逐项保留检测方法与出口；三层未发现是覆盖边界，不能称为任意编码检测。证据为 </w:t>
      </w:r>
      <w:hyperlink r:id="rId33">
        <w:r>
          <w:rPr>
            <w:color w:val="226D68"/>
          </w:rPr>
          <w:t>canary_selftest.json</w:t>
        </w:r>
      </w:hyperlink>
      <w:r>
        <w:rPr>
          <w:b w:val="0"/>
        </w:rPr>
        <w:t>，不是正式模型泄露事件，也不计入 ASR。</w:t>
      </w:r>
    </w:p>
    <w:p>
      <w:pPr>
        <w:keepLines/>
        <w:spacing w:line="252" w:lineRule="auto" w:before="100"/>
      </w:pPr>
      <w:r>
        <w:rPr>
          <w:rFonts w:ascii="Consolas" w:hAnsi="Consolas"/>
          <w:sz w:val="17"/>
        </w:rPr>
        <w:t>.\.venv\Scripts\python.exe scripts/demo_canary_selfcheck.py</w:t>
      </w:r>
    </w:p>
    <w:p>
      <w:r>
        <w:rPr>
          <w:b w:val="0"/>
        </w:rPr>
        <w:t xml:space="preserve">旧真实行为证据包括正常工具、确认/拒绝、上传、停止、刷新、重复请求、隔离会话，以及 Windows 启停和模型离线恢复。v2.0.0 发布后在匿名下载目录中创建新 venv，完成 24 项实际 Windows 检查与 4 项真实浏览器任务；报告在 </w:t>
      </w:r>
      <w:hyperlink r:id="rId34">
        <w:r>
          <w:rPr>
            <w:color w:val="226D68"/>
          </w:rPr>
          <w:t>v2.0.0 下载验收</w:t>
        </w:r>
      </w:hyperlink>
      <w:r>
        <w:rPr>
          <w:b w:val="0"/>
        </w:rPr>
        <w:t>。这属于上轮证据，本轮的新功能操作和生成案例见</w:t>
      </w:r>
      <w:hyperlink r:id="rId13">
        <w:r>
          <w:rPr>
            <w:color w:val="226D68"/>
          </w:rPr>
          <w:t>证据矩阵</w:t>
        </w:r>
      </w:hyperlink>
      <w:r>
        <w:rPr>
          <w:b w:val="0"/>
        </w:rPr>
        <w:t>。</w:t>
      </w:r>
    </w:p>
    <w:p>
      <w:pPr>
        <w:pStyle w:val="Heading2"/>
      </w:pPr>
      <w:r>
        <w:t>当前不足和待补充</w:t>
      </w:r>
    </w:p>
    <w:p>
      <w:r>
        <w:rPr>
          <w:b w:val="0"/>
        </w:rPr>
        <w:t>没有可靠前后对照就不声称某项修改使内存或速度提高某个百分比。小样本新采样只描述同一主机、当时负载与选定任务。进程工作集、私有提交、设备显存和主机物理内存是不同指标，不能相互替代。正式记录没有内存数据时不回填推测值。</w:t>
      </w:r>
    </w:p>
    <w:p>
      <w:pPr>
        <w:pStyle w:val="Heading1"/>
        <w:pageBreakBefore/>
      </w:pPr>
      <w:r>
        <w:t>5 打包部署与文档编写</w:t>
      </w:r>
    </w:p>
    <w:p>
      <w:pPr>
        <w:pStyle w:val="Heading2"/>
        <w:spacing w:before="160"/>
      </w:pPr>
      <w:r>
        <w:t>课程要求</w:t>
      </w:r>
    </w:p>
    <w:p>
      <w:pPr>
        <w:spacing w:after="80"/>
      </w:pPr>
      <w:r>
        <w:rPr>
          <w:b w:val="0"/>
        </w:rPr>
        <w:t>交付可运行系统、源码、依赖配置、测试与实验报告、失败分析、3–5 分钟视频、个人记录和可读文档，并验证他人下载后的使用路径。</w:t>
      </w:r>
    </w:p>
    <w:p>
      <w:pPr>
        <w:pStyle w:val="Heading2"/>
        <w:spacing w:before="160"/>
      </w:pPr>
      <w:r>
        <w:t>本项目实际做法</w:t>
      </w:r>
    </w:p>
    <w:p>
      <w:pPr>
        <w:spacing w:after="80"/>
      </w:pPr>
      <w:r>
        <w:rPr>
          <w:b w:val="0"/>
        </w:rPr>
        <w:t>源码 ZIP 与手工轻量包均包含两个 CMD、前端生产文件、后端和前端源码、依赖锁、冻结数据与正式记录。模型、CUDA 推理二进制、venv 和 node_modules 不分发；首次运行按 README 创建本机环境并下载或校验固定资源。当前页面和 API 都由 Python 提供，业务使用仅 localhost。</w:t>
      </w:r>
    </w:p>
    <w:p>
      <w:pPr>
        <w:spacing w:after="80"/>
      </w:pPr>
      <w:r>
        <w:rPr>
          <w:b w:val="0"/>
        </w:rPr>
        <w:t>本轮新增的专题手册和流程说明分别服务于“如何验证六功能”与“开发交付是否落实课程要求”。原 USER_MANUAL 保留综合操作细节；项目报告保留对应版本的实验分析。演示按 F01–F06 组织，区分实时、真实回放、规则预览及合成自检。视频剪除等待不构成性能数据。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576"/>
      </w:tblGrid>
      <w:tr>
        <w:trPr>
          <w:cantSplit/>
          <w:tblHeader/>
        </w:trPr>
        <w:tc>
          <w:tcPr>
            <w:tcW w:type="dxa" w:w="3402"/>
            <w:shd w:fill="DEEEEA"/>
          </w:tcPr>
          <w:p>
            <w:pPr>
              <w:spacing w:after="60" w:before="60"/>
            </w:pPr>
            <w:r>
              <w:rPr>
                <w:b/>
                <w:sz w:val="18"/>
              </w:rPr>
              <w:t>材料</w:t>
            </w:r>
          </w:p>
        </w:tc>
        <w:tc>
          <w:tcPr>
            <w:tcW w:type="dxa" w:w="6576"/>
            <w:shd w:fill="DEEEEA"/>
          </w:tcPr>
          <w:p>
            <w:pPr>
              <w:spacing w:after="60" w:before="60"/>
            </w:pPr>
            <w:r>
              <w:rPr>
                <w:b/>
                <w:sz w:val="18"/>
              </w:rPr>
              <w:t>实际位置与用途</w:t>
            </w:r>
          </w:p>
        </w:tc>
      </w:tr>
      <w:tr>
        <w:trPr>
          <w:cantSplit/>
        </w:trPr>
        <w:tc>
          <w:tcPr>
            <w:tcW w:type="dxa" w:w="3402"/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核心功能专题</w:t>
            </w:r>
          </w:p>
        </w:tc>
        <w:tc>
          <w:tcPr>
            <w:tcW w:type="dxa" w:w="6576"/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docs/CORE_FEATURES_GUIDE.md、PDF、DOCX；输入、步骤、结果、判据与实现位置</w:t>
            </w:r>
          </w:p>
        </w:tc>
      </w:tr>
      <w:tr>
        <w:trPr>
          <w:cantSplit/>
        </w:trPr>
        <w:tc>
          <w:tcPr>
            <w:tcW w:type="dxa" w:w="3402"/>
            <w:shd w:fill="F5F8F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流程说明</w:t>
            </w:r>
          </w:p>
        </w:tc>
        <w:tc>
          <w:tcPr>
            <w:tcW w:type="dxa" w:w="6576"/>
            <w:shd w:fill="F5F8F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本文三格式；六阶段实际产物、验证和不足</w:t>
            </w:r>
          </w:p>
        </w:tc>
      </w:tr>
      <w:tr>
        <w:trPr>
          <w:cantSplit/>
        </w:trPr>
        <w:tc>
          <w:tcPr>
            <w:tcW w:type="dxa" w:w="3402"/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一致性索引</w:t>
            </w:r>
          </w:p>
        </w:tc>
        <w:tc>
          <w:tcPr>
            <w:tcW w:type="dxa" w:w="6576"/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docs/FEATURE_EVIDENCE_MATRIX.md；行为、运行、图、视频区间和限制</w:t>
            </w:r>
          </w:p>
        </w:tc>
      </w:tr>
      <w:tr>
        <w:trPr>
          <w:cantSplit/>
        </w:trPr>
        <w:tc>
          <w:tcPr>
            <w:tcW w:type="dxa" w:w="3402"/>
            <w:shd w:fill="F5F8F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综合手册与项目报告</w:t>
            </w:r>
          </w:p>
        </w:tc>
        <w:tc>
          <w:tcPr>
            <w:tcW w:type="dxa" w:w="6576"/>
            <w:shd w:fill="F5F8F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docs/USER_MANUAL 三格式；dist/project_report.pdf、docx 与 docs/project_report.md</w:t>
            </w:r>
          </w:p>
        </w:tc>
      </w:tr>
      <w:tr>
        <w:trPr>
          <w:cantSplit/>
        </w:trPr>
        <w:tc>
          <w:tcPr>
            <w:tcW w:type="dxa" w:w="3402"/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当前视频</w:t>
            </w:r>
          </w:p>
        </w:tc>
        <w:tc>
          <w:tcPr>
            <w:tcW w:type="dxa" w:w="6576"/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demo/demo.mp4、demo_subtitles.srt、demo_script.md、README.md</w:t>
            </w:r>
          </w:p>
        </w:tc>
      </w:tr>
      <w:tr>
        <w:trPr>
          <w:cantSplit/>
        </w:trPr>
        <w:tc>
          <w:tcPr>
            <w:tcW w:type="dxa" w:w="3402"/>
            <w:shd w:fill="F5F8F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新证据</w:t>
            </w:r>
          </w:p>
        </w:tc>
        <w:tc>
          <w:tcPr>
            <w:tcW w:type="dxa" w:w="6576"/>
            <w:shd w:fill="F5F8F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results/core_features；采样、自检、操作与验证均独立于正式集</w:t>
            </w:r>
          </w:p>
        </w:tc>
      </w:tr>
      <w:tr>
        <w:trPr>
          <w:cantSplit/>
        </w:trPr>
        <w:tc>
          <w:tcPr>
            <w:tcW w:type="dxa" w:w="3402"/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分发</w:t>
            </w:r>
          </w:p>
        </w:tc>
        <w:tc>
          <w:tcPr>
            <w:tcW w:type="dxa" w:w="6576"/>
            <w:shd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dist/taintlab_project_light.zip、独立文件清单、SHA256 与新 Release</w:t>
            </w:r>
          </w:p>
        </w:tc>
      </w:tr>
    </w:tbl>
    <w:p>
      <w:pPr>
        <w:spacing w:after="20"/>
      </w:pPr>
    </w:p>
    <w:p>
      <w:pPr>
        <w:pStyle w:val="Heading2"/>
        <w:spacing w:before="160"/>
      </w:pPr>
      <w:r>
        <w:t>真实产物与验证证据</w:t>
      </w:r>
    </w:p>
    <w:p>
      <w:pPr>
        <w:spacing w:after="80"/>
      </w:pPr>
      <w:r>
        <w:rPr>
          <w:b w:val="0"/>
        </w:rPr>
        <w:t>v2.0.0 曾匿名下载全部 12 个附件，源码和轻量包均校验；新目录安装实际使用新 venv、依赖离线缓存和 SHA256 校验后的已有模型资源，并非新电脑全程首次联网准备。本轮合并后基于 main 提交生成 v2.0.1 包，再下载核验新字节、新哈希和新媒体，不能复用旧包结论。</w:t>
      </w:r>
    </w:p>
    <w:p>
      <w:pPr>
        <w:spacing w:after="80"/>
      </w:pPr>
      <w:r>
        <w:rPr>
          <w:b w:val="0"/>
        </w:rPr>
        <w:t>本轮发布前证据保存在</w:t>
      </w:r>
      <w:hyperlink r:id="rId35">
        <w:r>
          <w:rPr>
            <w:color w:val="226D68"/>
          </w:rPr>
          <w:t>计划与实际记录</w:t>
        </w:r>
      </w:hyperlink>
      <w:r>
        <w:rPr>
          <w:b w:val="0"/>
        </w:rPr>
        <w:t xml:space="preserve">及 results/core_features 的验收文件；发布后下载验收独立追加至 </w:t>
      </w:r>
      <w:hyperlink r:id="rId36">
        <w:r>
          <w:rPr>
            <w:color w:val="226D68"/>
          </w:rPr>
          <w:t>v2.0.1 Release</w:t>
        </w:r>
      </w:hyperlink>
      <w:r>
        <w:rPr>
          <w:b w:val="0"/>
        </w:rPr>
        <w:t>。文档先冻结，包清单绑定文档哈希，下载验收再绑定包哈希，避免互相回写形成校验循环。</w:t>
      </w:r>
    </w:p>
    <w:p>
      <w:pPr>
        <w:pStyle w:val="Heading2"/>
        <w:spacing w:before="160"/>
      </w:pPr>
      <w:r>
        <w:t>当前不足和待补充</w:t>
      </w:r>
    </w:p>
    <w:p>
      <w:pPr>
        <w:spacing w:after="80"/>
      </w:pPr>
      <w:r>
        <w:rPr>
          <w:b w:val="0"/>
        </w:rPr>
        <w:t>轻量包不是附带权重的免安装软件。此版本没有验证新操作系统、其他 GPU 或完全无缓存的首次联网安装。自有代码许可证尚未选定，Public 不自动等于 MIT；第三方许可与来源声明继续按实际范围保存。</w:t>
      </w:r>
    </w:p>
    <w:p>
      <w:pPr>
        <w:pStyle w:val="Heading1"/>
        <w:pageBreakBefore/>
      </w:pPr>
      <w:r>
        <w:t>6 持续维护与迭代</w:t>
      </w:r>
    </w:p>
    <w:p>
      <w:pPr>
        <w:pStyle w:val="Heading2"/>
      </w:pPr>
      <w:r>
        <w:t>课程要求</w:t>
      </w:r>
    </w:p>
    <w:p>
      <w:r>
        <w:rPr>
          <w:b w:val="0"/>
        </w:rPr>
        <w:t>维护版本、回归、数据冻结与文档一致性，保留失败案例，提出可检验的后续工作而非将计划写成成果。</w:t>
      </w:r>
    </w:p>
    <w:p>
      <w:pPr>
        <w:pStyle w:val="Heading2"/>
      </w:pPr>
      <w:r>
        <w:t>本项目实际做法</w:t>
      </w:r>
    </w:p>
    <w:p>
      <w:r>
        <w:rPr>
          <w:b w:val="0"/>
        </w:rPr>
        <w:t>运行核心和发布版本分开：仅文档/媒体更新可发新补丁版本，旧正式记录仍标识核心 2.0.0；若改变提示、上下文、网关、工具、预算或判定，则应新冻结并重跑支持新结论的完整可比实验。每轮默认生成轻量包，完整证据和旧 Release 单独保留。</w:t>
      </w:r>
    </w:p>
    <w:p>
      <w:r>
        <w:rPr>
          <w:b w:val="0"/>
        </w:rPr>
        <w:t>更新流程为：明确范围 → 保存受保护哈希 → 小规模实际操作与必要回归 → 文档/视频渲染检查 → 白名单同步公开分支 → PR 检查 → squash merge → 合并提交打 tag → 新包 → 匿名下载校验。不得覆盖已发布 tag，不把活跃上传、凭据、PID、日志或原始录屏提交到公共 Git 历史。维护规则见</w:t>
      </w:r>
      <w:hyperlink r:id="rId37">
        <w:r>
          <w:rPr>
            <w:color w:val="226D68"/>
          </w:rPr>
          <w:t>AGENTS.md</w:t>
        </w:r>
      </w:hyperlink>
      <w:r>
        <w:rPr>
          <w:b w:val="0"/>
        </w:rPr>
        <w:t>和</w:t>
      </w:r>
      <w:hyperlink r:id="rId38">
        <w:r>
          <w:rPr>
            <w:color w:val="226D68"/>
          </w:rPr>
          <w:t>轻量交付规则</w:t>
        </w:r>
      </w:hyperlink>
      <w:r>
        <w:rPr>
          <w:b w:val="0"/>
        </w:rPr>
        <w:t>。</w:t>
      </w:r>
    </w:p>
    <w:p>
      <w:pPr>
        <w:pStyle w:val="Heading2"/>
      </w:pPr>
      <w:r>
        <w:t>真实产物与验证证据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  <w:tblHeader/>
        </w:trPr>
        <w:tc>
          <w:tcPr>
            <w:tcW w:type="dxa" w:w="2381"/>
            <w:shd w:fill="DEEEEA"/>
          </w:tcPr>
          <w:p>
            <w:pPr>
              <w:spacing w:after="100" w:before="100"/>
            </w:pPr>
            <w:r>
              <w:rPr>
                <w:b/>
                <w:sz w:val="18"/>
              </w:rPr>
              <w:t>已知限制</w:t>
            </w:r>
          </w:p>
        </w:tc>
        <w:tc>
          <w:tcPr>
            <w:tcW w:type="dxa" w:w="3798"/>
            <w:shd w:fill="DEEEEA"/>
          </w:tcPr>
          <w:p>
            <w:pPr>
              <w:spacing w:after="100" w:before="100"/>
            </w:pPr>
            <w:r>
              <w:rPr>
                <w:b/>
                <w:sz w:val="18"/>
              </w:rPr>
              <w:t>已有事实</w:t>
            </w:r>
          </w:p>
        </w:tc>
        <w:tc>
          <w:tcPr>
            <w:tcW w:type="dxa" w:w="3798"/>
            <w:shd w:fill="DEEEEA"/>
          </w:tcPr>
          <w:p>
            <w:pPr>
              <w:spacing w:after="100" w:before="100"/>
            </w:pPr>
            <w:r>
              <w:rPr>
                <w:b/>
                <w:sz w:val="18"/>
              </w:rPr>
              <w:t>可验证的后续任务 尚未完成</w:t>
            </w:r>
          </w:p>
        </w:tc>
      </w:tr>
      <w:tr>
        <w:trPr>
          <w:cantSplit/>
        </w:trPr>
        <w:tc>
          <w:tcPr>
            <w:tcW w:type="dxa" w:w="2381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事实污染</w:t>
            </w:r>
          </w:p>
        </w:tc>
        <w:tc>
          <w:tcPr>
            <w:tcW w:type="dxa" w:w="3798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扩展完整策略 ASR 34/180，无防御 31/180</w:t>
            </w:r>
          </w:p>
        </w:tc>
        <w:tc>
          <w:tcPr>
            <w:tcW w:type="dxa" w:w="3798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新开发集设计事实来源核验，再冻结并报告完整比较，不能只选改善案例</w:t>
            </w:r>
          </w:p>
        </w:tc>
      </w:tr>
      <w:tr>
        <w:trPr>
          <w:cantSplit/>
        </w:trPr>
        <w:tc>
          <w:tcPr>
            <w:tcW w:type="dxa" w:w="2381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独立污点收益</w:t>
            </w:r>
          </w:p>
        </w:tc>
        <w:tc>
          <w:tcPr>
            <w:tcW w:type="dxa" w:w="3798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现有配对结果未证明优于 policy_only</w:t>
            </w:r>
          </w:p>
        </w:tc>
        <w:tc>
          <w:tcPr>
            <w:tcW w:type="dxa" w:w="3798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设计权限相同而敏感流不同的任务，检查实际标签阻断和另一侧违规</w:t>
            </w:r>
          </w:p>
        </w:tc>
      </w:tr>
      <w:tr>
        <w:trPr>
          <w:cantSplit/>
        </w:trPr>
        <w:tc>
          <w:tcPr>
            <w:tcW w:type="dxa" w:w="2381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阻断后恢复</w:t>
            </w:r>
          </w:p>
        </w:tc>
        <w:tc>
          <w:tcPr>
            <w:tcW w:type="dxa" w:w="3798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当前没有完整策略阻断后安全完成全部合法任务实例</w:t>
            </w:r>
          </w:p>
        </w:tc>
        <w:tc>
          <w:tcPr>
            <w:tcW w:type="dxa" w:w="3798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新任务规划/上下文策略在开发集验证，再按版本完整重测</w:t>
            </w:r>
          </w:p>
        </w:tc>
      </w:tr>
      <w:tr>
        <w:trPr>
          <w:cantSplit/>
        </w:trPr>
        <w:tc>
          <w:tcPr>
            <w:tcW w:type="dxa" w:w="2381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Canary 边界</w:t>
            </w:r>
          </w:p>
        </w:tc>
        <w:tc>
          <w:tcPr>
            <w:tcW w:type="dxa" w:w="3798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三主配置均零外泄，包括 none</w:t>
            </w:r>
          </w:p>
        </w:tc>
        <w:tc>
          <w:tcPr>
            <w:tcW w:type="dxa" w:w="3798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扩充有界检测正负对照，分别报告检测器覆盖与模型真实攻击，不混分母</w:t>
            </w:r>
          </w:p>
        </w:tc>
      </w:tr>
      <w:tr>
        <w:trPr>
          <w:cantSplit/>
        </w:trPr>
        <w:tc>
          <w:tcPr>
            <w:tcW w:type="dxa" w:w="2381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小模型能力</w:t>
            </w:r>
          </w:p>
        </w:tc>
        <w:tc>
          <w:tcPr>
            <w:tcW w:type="dxa" w:w="3798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存在缺事实、跳过工具和预算耗尽</w:t>
            </w:r>
          </w:p>
        </w:tc>
        <w:tc>
          <w:tcPr>
            <w:tcW w:type="dxa" w:w="3798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固定开发集测能力与安全同时变化，失败不能作安全收益</w:t>
            </w:r>
          </w:p>
        </w:tc>
      </w:tr>
      <w:tr>
        <w:trPr>
          <w:cantSplit/>
        </w:trPr>
        <w:tc>
          <w:tcPr>
            <w:tcW w:type="dxa" w:w="2381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平台与资源</w:t>
            </w:r>
          </w:p>
        </w:tc>
        <w:tc>
          <w:tcPr>
            <w:tcW w:type="dxa" w:w="3798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仅 Windows/NVIDIA 路线实测</w:t>
            </w:r>
          </w:p>
        </w:tc>
        <w:tc>
          <w:tcPr>
            <w:tcW w:type="dxa" w:w="3798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在独立 CPU/AMD/其他 OS 建立环境矩阵，记录性能与故障，不提前承诺支持</w:t>
            </w:r>
          </w:p>
        </w:tc>
      </w:tr>
    </w:tbl>
    <w:p>
      <w:pPr>
        <w:spacing w:after="20"/>
      </w:pPr>
    </w:p>
    <w:p>
      <w:pPr>
        <w:pStyle w:val="Heading2"/>
      </w:pPr>
      <w:r>
        <w:t>当前不足和待补充</w:t>
      </w:r>
    </w:p>
    <w:p>
      <w:r>
        <w:rPr>
          <w:b w:val="0"/>
        </w:rPr>
        <w:t>成员身份、实际分工、个人工作记录和人工工时仍须小组填写。下面五个位置是课程要求的可编辑模板，不是对实际贡献的认定。</w:t>
      </w:r>
    </w:p>
    <w:p>
      <w:pPr>
        <w:pStyle w:val="Heading2"/>
      </w:pPr>
      <w:r>
        <w:t>五人建议分工表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/>
        </w:trPr>
        <w:tc>
          <w:tcPr>
            <w:tcW w:type="dxa" w:w="567"/>
            <w:shd w:fill="DEEEEA"/>
          </w:tcPr>
          <w:p>
            <w:pPr>
              <w:spacing w:after="100" w:before="100"/>
            </w:pPr>
            <w:r>
              <w:rPr>
                <w:b/>
                <w:sz w:val="17"/>
              </w:rPr>
              <w:t>位置</w:t>
            </w:r>
          </w:p>
        </w:tc>
        <w:tc>
          <w:tcPr>
            <w:tcW w:type="dxa" w:w="1304"/>
            <w:shd w:fill="DEEEEA"/>
          </w:tcPr>
          <w:p>
            <w:pPr>
              <w:spacing w:after="100" w:before="100"/>
            </w:pPr>
            <w:r>
              <w:rPr>
                <w:b/>
                <w:sz w:val="17"/>
              </w:rPr>
              <w:t>姓名与学号</w:t>
            </w:r>
          </w:p>
        </w:tc>
        <w:tc>
          <w:tcPr>
            <w:tcW w:type="dxa" w:w="2324"/>
            <w:shd w:fill="DEEEEA"/>
          </w:tcPr>
          <w:p>
            <w:pPr>
              <w:spacing w:after="100" w:before="100"/>
            </w:pPr>
            <w:r>
              <w:rPr>
                <w:b/>
                <w:sz w:val="17"/>
              </w:rPr>
              <w:t>建议职责 非实际分工</w:t>
            </w:r>
          </w:p>
        </w:tc>
        <w:tc>
          <w:tcPr>
            <w:tcW w:type="dxa" w:w="2891"/>
            <w:shd w:fill="DEEEEA"/>
          </w:tcPr>
          <w:p>
            <w:pPr>
              <w:spacing w:after="100" w:before="100"/>
            </w:pPr>
            <w:r>
              <w:rPr>
                <w:b/>
                <w:sz w:val="17"/>
              </w:rPr>
              <w:t>实际产物与提交证据</w:t>
            </w:r>
          </w:p>
        </w:tc>
        <w:tc>
          <w:tcPr>
            <w:tcW w:type="dxa" w:w="1191"/>
            <w:shd w:fill="DEEEEA"/>
          </w:tcPr>
          <w:p>
            <w:pPr>
              <w:spacing w:after="100" w:before="100"/>
            </w:pPr>
            <w:r>
              <w:rPr>
                <w:b/>
                <w:sz w:val="17"/>
              </w:rPr>
              <w:t>人工工时</w:t>
            </w:r>
          </w:p>
        </w:tc>
        <w:tc>
          <w:tcPr>
            <w:tcW w:type="dxa" w:w="1701"/>
            <w:shd w:fill="DEEEEA"/>
          </w:tcPr>
          <w:p>
            <w:pPr>
              <w:spacing w:after="100" w:before="100"/>
            </w:pPr>
            <w:r>
              <w:rPr>
                <w:b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567"/>
            <w:shd w:fill="FFFFFF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304"/>
            <w:shd w:fill="FFFFFF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待补充</w:t>
            </w:r>
          </w:p>
        </w:tc>
        <w:tc>
          <w:tcPr>
            <w:tcW w:type="dxa" w:w="2324"/>
            <w:shd w:fill="FFFFFF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核心 Agent 与模型接口</w:t>
            </w:r>
          </w:p>
        </w:tc>
        <w:tc>
          <w:tcPr>
            <w:tcW w:type="dxa" w:w="2891"/>
            <w:shd w:fill="FFFFFF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待补充</w:t>
            </w:r>
          </w:p>
        </w:tc>
        <w:tc>
          <w:tcPr>
            <w:tcW w:type="dxa" w:w="1191"/>
            <w:shd w:fill="FFFFFF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待补充</w:t>
            </w:r>
          </w:p>
        </w:tc>
        <w:tc>
          <w:tcPr>
            <w:tcW w:type="dxa" w:w="1701"/>
            <w:shd w:fill="FFFFFF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未确认</w:t>
            </w:r>
          </w:p>
        </w:tc>
      </w:tr>
      <w:tr>
        <w:trPr>
          <w:cantSplit/>
        </w:trPr>
        <w:tc>
          <w:tcPr>
            <w:tcW w:type="dxa" w:w="567"/>
            <w:shd w:fill="F5F8F7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304"/>
            <w:shd w:fill="F5F8F7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待补充</w:t>
            </w:r>
          </w:p>
        </w:tc>
        <w:tc>
          <w:tcPr>
            <w:tcW w:type="dxa" w:w="2324"/>
            <w:shd w:fill="F5F8F7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来源 污点 权限与确认</w:t>
            </w:r>
          </w:p>
        </w:tc>
        <w:tc>
          <w:tcPr>
            <w:tcW w:type="dxa" w:w="2891"/>
            <w:shd w:fill="F5F8F7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待补充</w:t>
            </w:r>
          </w:p>
        </w:tc>
        <w:tc>
          <w:tcPr>
            <w:tcW w:type="dxa" w:w="1191"/>
            <w:shd w:fill="F5F8F7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待补充</w:t>
            </w:r>
          </w:p>
        </w:tc>
        <w:tc>
          <w:tcPr>
            <w:tcW w:type="dxa" w:w="1701"/>
            <w:shd w:fill="F5F8F7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未确认</w:t>
            </w:r>
          </w:p>
        </w:tc>
      </w:tr>
      <w:tr>
        <w:trPr>
          <w:cantSplit/>
        </w:trPr>
        <w:tc>
          <w:tcPr>
            <w:tcW w:type="dxa" w:w="567"/>
            <w:shd w:fill="FFFFFF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304"/>
            <w:shd w:fill="FFFFFF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待补充</w:t>
            </w:r>
          </w:p>
        </w:tc>
        <w:tc>
          <w:tcPr>
            <w:tcW w:type="dxa" w:w="2324"/>
            <w:shd w:fill="FFFFFF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数据适配 独立评测和失败分析</w:t>
            </w:r>
          </w:p>
        </w:tc>
        <w:tc>
          <w:tcPr>
            <w:tcW w:type="dxa" w:w="2891"/>
            <w:shd w:fill="FFFFFF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待补充</w:t>
            </w:r>
          </w:p>
        </w:tc>
        <w:tc>
          <w:tcPr>
            <w:tcW w:type="dxa" w:w="1191"/>
            <w:shd w:fill="FFFFFF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待补充</w:t>
            </w:r>
          </w:p>
        </w:tc>
        <w:tc>
          <w:tcPr>
            <w:tcW w:type="dxa" w:w="1701"/>
            <w:shd w:fill="FFFFFF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未确认</w:t>
            </w:r>
          </w:p>
        </w:tc>
      </w:tr>
      <w:tr>
        <w:trPr>
          <w:cantSplit/>
        </w:trPr>
        <w:tc>
          <w:tcPr>
            <w:tcW w:type="dxa" w:w="567"/>
            <w:shd w:fill="F5F8F7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304"/>
            <w:shd w:fill="F5F8F7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待补充</w:t>
            </w:r>
          </w:p>
        </w:tc>
        <w:tc>
          <w:tcPr>
            <w:tcW w:type="dxa" w:w="2324"/>
            <w:shd w:fill="F5F8F7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对话交互 工具与上传</w:t>
            </w:r>
          </w:p>
        </w:tc>
        <w:tc>
          <w:tcPr>
            <w:tcW w:type="dxa" w:w="2891"/>
            <w:shd w:fill="F5F8F7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待补充</w:t>
            </w:r>
          </w:p>
        </w:tc>
        <w:tc>
          <w:tcPr>
            <w:tcW w:type="dxa" w:w="1191"/>
            <w:shd w:fill="F5F8F7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待补充</w:t>
            </w:r>
          </w:p>
        </w:tc>
        <w:tc>
          <w:tcPr>
            <w:tcW w:type="dxa" w:w="1701"/>
            <w:shd w:fill="F5F8F7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未确认</w:t>
            </w:r>
          </w:p>
        </w:tc>
      </w:tr>
      <w:tr>
        <w:trPr>
          <w:cantSplit/>
        </w:trPr>
        <w:tc>
          <w:tcPr>
            <w:tcW w:type="dxa" w:w="567"/>
            <w:shd w:fill="FFFFFF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304"/>
            <w:shd w:fill="FFFFFF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待补充</w:t>
            </w:r>
          </w:p>
        </w:tc>
        <w:tc>
          <w:tcPr>
            <w:tcW w:type="dxa" w:w="2324"/>
            <w:shd w:fill="FFFFFF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测试 文档 视频与发布</w:t>
            </w:r>
          </w:p>
        </w:tc>
        <w:tc>
          <w:tcPr>
            <w:tcW w:type="dxa" w:w="2891"/>
            <w:shd w:fill="FFFFFF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待补充</w:t>
            </w:r>
          </w:p>
        </w:tc>
        <w:tc>
          <w:tcPr>
            <w:tcW w:type="dxa" w:w="1191"/>
            <w:shd w:fill="FFFFFF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待补充</w:t>
            </w:r>
          </w:p>
        </w:tc>
        <w:tc>
          <w:tcPr>
            <w:tcW w:type="dxa" w:w="1701"/>
            <w:shd w:fill="FFFFFF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未确认</w:t>
            </w:r>
          </w:p>
        </w:tc>
      </w:tr>
    </w:tbl>
    <w:p>
      <w:pPr>
        <w:spacing w:after="20"/>
      </w:pPr>
    </w:p>
    <w:p>
      <w:r>
        <w:rPr>
          <w:b w:val="0"/>
        </w:rPr>
        <w:t xml:space="preserve">个人工作记录应逐条填写：姓名/学号、日期、任务与模块、实际改动、对应提交或运行/截图证据、本人实际人工时间、完成状态、AI 辅助方式。代码行数仅作辅助，不能按自动化运行小时折算人工时间。电子模板见 </w:t>
      </w:r>
      <w:hyperlink r:id="rId26">
        <w:r>
          <w:rPr>
            <w:color w:val="226D68"/>
          </w:rPr>
          <w:t>members_course_five.csv</w:t>
        </w:r>
      </w:hyperlink>
      <w:r>
        <w:rPr>
          <w:b w:val="0"/>
        </w:rPr>
        <w:t>。</w:t>
      </w:r>
    </w:p>
    <w:p>
      <w:pPr>
        <w:pStyle w:val="Heading2"/>
      </w:pPr>
      <w:r>
        <w:t>课程要求与实际交付物对照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  <w:tblHeader/>
        </w:trPr>
        <w:tc>
          <w:tcPr>
            <w:tcW w:type="dxa" w:w="2381"/>
            <w:shd w:fill="DEEEEA"/>
          </w:tcPr>
          <w:p>
            <w:pPr>
              <w:spacing w:after="100" w:before="100"/>
            </w:pPr>
            <w:r>
              <w:rPr>
                <w:b/>
                <w:sz w:val="18"/>
              </w:rPr>
              <w:t>要求</w:t>
            </w:r>
          </w:p>
        </w:tc>
        <w:tc>
          <w:tcPr>
            <w:tcW w:type="dxa" w:w="3798"/>
            <w:shd w:fill="DEEEEA"/>
          </w:tcPr>
          <w:p>
            <w:pPr>
              <w:spacing w:after="100" w:before="100"/>
            </w:pPr>
            <w:r>
              <w:rPr>
                <w:b/>
                <w:sz w:val="18"/>
              </w:rPr>
              <w:t>实际位置</w:t>
            </w:r>
          </w:p>
        </w:tc>
        <w:tc>
          <w:tcPr>
            <w:tcW w:type="dxa" w:w="3798"/>
            <w:shd w:fill="DEEEEA"/>
          </w:tcPr>
          <w:p>
            <w:pPr>
              <w:spacing w:after="100" w:before="100"/>
            </w:pPr>
            <w:r>
              <w:rPr>
                <w:b/>
                <w:sz w:val="18"/>
              </w:rPr>
              <w:t>状态与验收方式</w:t>
            </w:r>
          </w:p>
        </w:tc>
      </w:tr>
      <w:tr>
        <w:trPr>
          <w:cantSplit/>
        </w:trPr>
        <w:tc>
          <w:tcPr>
            <w:tcW w:type="dxa" w:w="2381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可运行系统与源码</w:t>
            </w:r>
          </w:p>
        </w:tc>
        <w:tc>
          <w:tcPr>
            <w:tcW w:type="dxa" w:w="3798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src、frontend/dist、两个 CMD</w:t>
            </w:r>
          </w:p>
        </w:tc>
        <w:tc>
          <w:tcPr>
            <w:tcW w:type="dxa" w:w="3798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已有可运行 2.0；本轮功能操作依矩阵复验</w:t>
            </w:r>
          </w:p>
        </w:tc>
      </w:tr>
      <w:tr>
        <w:trPr>
          <w:cantSplit/>
        </w:trPr>
        <w:tc>
          <w:tcPr>
            <w:tcW w:type="dxa" w:w="2381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测试报告</w:t>
            </w:r>
          </w:p>
        </w:tc>
        <w:tc>
          <w:tcPr>
            <w:tcW w:type="dxa" w:w="3798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results/core_features 及各历史 JUnit</w:t>
            </w:r>
          </w:p>
        </w:tc>
        <w:tc>
          <w:tcPr>
            <w:tcW w:type="dxa" w:w="3798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区分本轮执行与历史记录，真实数量据文件读取</w:t>
            </w:r>
          </w:p>
        </w:tc>
      </w:tr>
      <w:tr>
        <w:trPr>
          <w:cantSplit/>
        </w:trPr>
        <w:tc>
          <w:tcPr>
            <w:tcW w:type="dxa" w:w="2381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基线与消融</w:t>
            </w:r>
          </w:p>
        </w:tc>
        <w:tc>
          <w:tcPr>
            <w:tcW w:type="dxa" w:w="3798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results/main、ablation、v2/baseline、v2/external</w:t>
            </w:r>
          </w:p>
        </w:tc>
        <w:tc>
          <w:tcPr>
            <w:tcW w:type="dxa" w:w="3798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3672 条正式原件保留，本轮不重跑</w:t>
            </w:r>
          </w:p>
        </w:tc>
      </w:tr>
      <w:tr>
        <w:trPr>
          <w:cantSplit/>
        </w:trPr>
        <w:tc>
          <w:tcPr>
            <w:tcW w:type="dxa" w:w="2381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失败案例分析</w:t>
            </w:r>
          </w:p>
        </w:tc>
        <w:tc>
          <w:tcPr>
            <w:tcW w:type="dxa" w:w="3798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docs/v2/EXPERIMENT_FINDINGS.md、F03/F05</w:t>
            </w:r>
          </w:p>
        </w:tc>
        <w:tc>
          <w:tcPr>
            <w:tcW w:type="dxa" w:w="3798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保留合法失败、事实污染和无独立收益边界</w:t>
            </w:r>
          </w:p>
        </w:tc>
      </w:tr>
      <w:tr>
        <w:trPr>
          <w:cantSplit/>
        </w:trPr>
        <w:tc>
          <w:tcPr>
            <w:tcW w:type="dxa" w:w="2381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3–5 分钟演示</w:t>
            </w:r>
          </w:p>
        </w:tc>
        <w:tc>
          <w:tcPr>
            <w:tcW w:type="dxa" w:w="3798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demo/demo.mp4、字幕与剪辑记录</w:t>
            </w:r>
          </w:p>
        </w:tc>
        <w:tc>
          <w:tcPr>
            <w:tcW w:type="dxa" w:w="3798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本轮按六章重制，媒体 QA 绑定新 SHA</w:t>
            </w:r>
          </w:p>
        </w:tc>
      </w:tr>
      <w:tr>
        <w:trPr>
          <w:cantSplit/>
        </w:trPr>
        <w:tc>
          <w:tcPr>
            <w:tcW w:type="dxa" w:w="2381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输出文档</w:t>
            </w:r>
          </w:p>
        </w:tc>
        <w:tc>
          <w:tcPr>
            <w:tcW w:type="dxa" w:w="3798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两份新文档、综合手册、报告</w:t>
            </w:r>
          </w:p>
        </w:tc>
        <w:tc>
          <w:tcPr>
            <w:tcW w:type="dxa" w:w="3798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三格式分别制作，DOCX 渲染/PDF 逐页检查</w:t>
            </w:r>
          </w:p>
        </w:tc>
      </w:tr>
      <w:tr>
        <w:trPr>
          <w:cantSplit/>
        </w:trPr>
        <w:tc>
          <w:tcPr>
            <w:tcW w:type="dxa" w:w="2381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五人个人记录</w:t>
            </w:r>
          </w:p>
        </w:tc>
        <w:tc>
          <w:tcPr>
            <w:tcW w:type="dxa" w:w="3798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本节和 members_course_five.csv</w:t>
            </w:r>
          </w:p>
        </w:tc>
        <w:tc>
          <w:tcPr>
            <w:tcW w:type="dxa" w:w="3798"/>
            <w:shd w:fill="FFFFFF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模板已提供，真实资料与工时待补充</w:t>
            </w:r>
          </w:p>
        </w:tc>
      </w:tr>
      <w:tr>
        <w:trPr>
          <w:cantSplit/>
        </w:trPr>
        <w:tc>
          <w:tcPr>
            <w:tcW w:type="dxa" w:w="2381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下载与公开发布</w:t>
            </w:r>
          </w:p>
        </w:tc>
        <w:tc>
          <w:tcPr>
            <w:tcW w:type="dxa" w:w="3798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README、PR、Release、清单及下载验收</w:t>
            </w:r>
          </w:p>
        </w:tc>
        <w:tc>
          <w:tcPr>
            <w:tcW w:type="dxa" w:w="3798"/>
            <w:shd w:fill="F5F8F7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合并与下载结果以远程状态和新 sidecar 为准</w:t>
            </w:r>
          </w:p>
        </w:tc>
      </w:tr>
    </w:tbl>
    <w:p>
      <w:pPr>
        <w:spacing w:after="20"/>
      </w:pPr>
    </w:p>
    <w:p>
      <w:pPr>
        <w:pStyle w:val="Heading2"/>
      </w:pPr>
      <w:r>
        <w:t>证据索引</w:t>
      </w:r>
    </w:p>
    <w:p>
      <w:pPr>
        <w:pStyle w:val="ListBullet"/>
      </w:pPr>
      <w:r>
        <w:rPr>
          <w:b w:val="0"/>
        </w:rPr>
        <w:t>六功能操作、截图与 Demo 对照：</w:t>
      </w:r>
      <w:hyperlink r:id="rId13">
        <w:r>
          <w:rPr>
            <w:color w:val="226D68"/>
          </w:rPr>
          <w:t>FEATURE_EVIDENCE_MATRIX.md</w:t>
        </w:r>
      </w:hyperlink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新采样、Canary 自检和本轮测试：results/core_features；原运行口径与文件哈希保护见 baseline_integrity.json 及最终 integrity_validation.json。</w:t>
      </w:r>
    </w:p>
    <w:p>
      <w:pPr>
        <w:pStyle w:val="ListBullet"/>
      </w:pPr>
      <w:r>
        <w:rPr>
          <w:b w:val="0"/>
        </w:rPr>
        <w:t>当前正式实验分析：</w:t>
      </w:r>
      <w:hyperlink r:id="rId39">
        <w:r>
          <w:rPr>
            <w:color w:val="226D68"/>
          </w:rPr>
          <w:t>EXPERIMENT_FINDINGS.md</w:t>
        </w:r>
      </w:hyperlink>
      <w:r>
        <w:rPr>
          <w:b w:val="0"/>
        </w:rPr>
        <w:t>；独立复算：</w:t>
      </w:r>
      <w:hyperlink r:id="rId40">
        <w:r>
          <w:rPr>
            <w:color w:val="226D68"/>
          </w:rPr>
          <w:t>verify_v2_experiments.py</w:t>
        </w:r>
      </w:hyperlink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公共历史与本地来源关系：</w:t>
      </w:r>
      <w:hyperlink r:id="rId25">
        <w:r>
          <w:rPr>
            <w:color w:val="226D68"/>
          </w:rPr>
          <w:t>公开白名单说明</w:t>
        </w:r>
      </w:hyperlink>
      <w:r>
        <w:rPr>
          <w:b w:val="0"/>
        </w:rPr>
        <w:t>、PUBLICATION_MANIFEST.json、Release 文件清单。</w:t>
      </w:r>
    </w:p>
    <w:p>
      <w:pPr>
        <w:pStyle w:val="ListBullet"/>
      </w:pPr>
      <w:r>
        <w:rPr>
          <w:b w:val="0"/>
        </w:rPr>
        <w:t>本轮真实进度与最终交付索引：</w:t>
      </w:r>
      <w:hyperlink r:id="rId35">
        <w:r>
          <w:rPr>
            <w:color w:val="226D68"/>
          </w:rPr>
          <w:t>v2.0.1 记录</w:t>
        </w:r>
      </w:hyperlink>
      <w:r>
        <w:rPr>
          <w:b w:val="0"/>
        </w:rPr>
        <w:t>。未提供的成员资料与许可证选择继续列为待补充。</w:t>
      </w:r>
    </w:p>
    <w:sectPr w:rsidR="00FC693F" w:rsidRPr="0006063C" w:rsidSect="00034616">
      <w:pgSz w:w="11906" w:h="16838"/>
      <w:pgMar w:top="850" w:right="935" w:bottom="794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TaintLab  |  项目开发与交付过程  |  发布 v2.0.1  核心 2.0.0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2F3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2F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2F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142F3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142F3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aluola/taintlab/blob/v2.0.1/docs/CORE_FEATURES_GUIDE.md" TargetMode="External"/><Relationship Id="rId12" Type="http://schemas.openxmlformats.org/officeDocument/2006/relationships/hyperlink" Target="https://github.com/aluola/taintlab/blob/v2.0.1/docs/USER_MANUAL.md" TargetMode="External"/><Relationship Id="rId13" Type="http://schemas.openxmlformats.org/officeDocument/2006/relationships/hyperlink" Target="https://github.com/aluola/taintlab/blob/v2.0.1/docs/FEATURE_EVIDENCE_MATRIX.md" TargetMode="External"/><Relationship Id="rId14" Type="http://schemas.openxmlformats.org/officeDocument/2006/relationships/image" Target="media/image1.png"/><Relationship Id="rId15" Type="http://schemas.openxmlformats.org/officeDocument/2006/relationships/hyperlink" Target="https://github.com/aluola/taintlab/blob/v2.0.1/data/frozen_manifest.json" TargetMode="External"/><Relationship Id="rId16" Type="http://schemas.openxmlformats.org/officeDocument/2006/relationships/hyperlink" Target="https://github.com/aluola/taintlab/blob/v2.0.1/data/v2/frozen_manifest.json" TargetMode="External"/><Relationship Id="rId17" Type="http://schemas.openxmlformats.org/officeDocument/2006/relationships/hyperlink" Target="https://github.com/aluola/taintlab/blob/v2.0.1/docs/v2/DATA_SOURCES.md" TargetMode="External"/><Relationship Id="rId18" Type="http://schemas.openxmlformats.org/officeDocument/2006/relationships/hyperlink" Target="https://github.com/aluola/taintlab/blob/v2.0.1/configs/model.lock.json" TargetMode="External"/><Relationship Id="rId19" Type="http://schemas.openxmlformats.org/officeDocument/2006/relationships/hyperlink" Target="https://github.com/aluola/taintlab/blob/v2.0.1/configs/model.json" TargetMode="External"/><Relationship Id="rId20" Type="http://schemas.openxmlformats.org/officeDocument/2006/relationships/hyperlink" Target="https://github.com/aluola/taintlab/blob/v2.0.1/configs/experiment_v2.lock.json" TargetMode="External"/><Relationship Id="rId21" Type="http://schemas.openxmlformats.org/officeDocument/2006/relationships/hyperlink" Target="https://github.com/aluola/taintlab/blob/v2.0.1/docs/v2/API_CONTRACT.md" TargetMode="External"/><Relationship Id="rId22" Type="http://schemas.openxmlformats.org/officeDocument/2006/relationships/hyperlink" Target="https://github.com/aluola/taintlab/blob/v2.0.1/README.md" TargetMode="External"/><Relationship Id="rId23" Type="http://schemas.openxmlformats.org/officeDocument/2006/relationships/hyperlink" Target="https://github.com/aluola/taintlab/blob/v2.0.1/docs/DEVELOPMENT_LOG.md" TargetMode="External"/><Relationship Id="rId24" Type="http://schemas.openxmlformats.org/officeDocument/2006/relationships/hyperlink" Target="https://github.com/aluola/taintlab/blob/v2.0.1/docs/v2/DEVELOPMENT.md" TargetMode="External"/><Relationship Id="rId25" Type="http://schemas.openxmlformats.org/officeDocument/2006/relationships/hyperlink" Target="https://github.com/aluola/taintlab/blob/v2.0.1/docs/publication/PUBLICATION_POLICY.md" TargetMode="External"/><Relationship Id="rId26" Type="http://schemas.openxmlformats.org/officeDocument/2006/relationships/hyperlink" Target="https://github.com/aluola/taintlab/blob/v2.0.1/docs/members_course_five.csv" TargetMode="External"/><Relationship Id="rId27" Type="http://schemas.openxmlformats.org/officeDocument/2006/relationships/hyperlink" Target="https://github.com/aluola/taintlab/blob/v2.0.1/results/core_features/formal_summary.json" TargetMode="External"/><Relationship Id="rId28" Type="http://schemas.openxmlformats.org/officeDocument/2006/relationships/hyperlink" Target="https://learn.microsoft.com/en-us/windows/win32/api/psapi/ns-psapi-process_memory_counters_ex" TargetMode="External"/><Relationship Id="rId29" Type="http://schemas.openxmlformats.org/officeDocument/2006/relationships/hyperlink" Target="https://github.com/aluola/taintlab/blob/v2.0.1/results/core_features/performance_summary.json" TargetMode="External"/><Relationship Id="rId30" Type="http://schemas.openxmlformats.org/officeDocument/2006/relationships/hyperlink" Target="https://github.com/aluola/taintlab/blob/v2.0.1/results/core_features/validation/helper_tests.xml" TargetMode="External"/><Relationship Id="rId31" Type="http://schemas.openxmlformats.org/officeDocument/2006/relationships/hyperlink" Target="https://github.com/aluola/taintlab/blob/v2.0.1/results/core_features/pytest.xml" TargetMode="External"/><Relationship Id="rId32" Type="http://schemas.openxmlformats.org/officeDocument/2006/relationships/hyperlink" Target="https://github.com/aluola/taintlab/blob/v2.0.1/results/core_features/validation/release_docs_tests.xml" TargetMode="External"/><Relationship Id="rId33" Type="http://schemas.openxmlformats.org/officeDocument/2006/relationships/hyperlink" Target="https://github.com/aluola/taintlab/blob/v2.0.1/results/core_features/canary_selftest.json" TargetMode="External"/><Relationship Id="rId34" Type="http://schemas.openxmlformats.org/officeDocument/2006/relationships/hyperlink" Target="https://github.com/aluola/taintlab/releases/download/v2.0.0/PUBLIC_DOWNLOAD_ACCEPTANCE.json" TargetMode="External"/><Relationship Id="rId35" Type="http://schemas.openxmlformats.org/officeDocument/2006/relationships/hyperlink" Target="https://github.com/aluola/taintlab/blob/v2.0.1/docs/releases/v2.0.1/PLAN.md" TargetMode="External"/><Relationship Id="rId36" Type="http://schemas.openxmlformats.org/officeDocument/2006/relationships/hyperlink" Target="https://github.com/aluola/taintlab/releases/tag/v2.0.1" TargetMode="External"/><Relationship Id="rId37" Type="http://schemas.openxmlformats.org/officeDocument/2006/relationships/hyperlink" Target="https://github.com/aluola/taintlab/blob/v2.0.1/AGENTS.md" TargetMode="External"/><Relationship Id="rId38" Type="http://schemas.openxmlformats.org/officeDocument/2006/relationships/hyperlink" Target="https://github.com/aluola/taintlab/blob/v2.0.1/docs/LIGHT_PACKAGE.md" TargetMode="External"/><Relationship Id="rId39" Type="http://schemas.openxmlformats.org/officeDocument/2006/relationships/hyperlink" Target="https://github.com/aluola/taintlab/blob/v2.0.1/docs/v2/EXPERIMENT_FINDINGS.md" TargetMode="External"/><Relationship Id="rId40" Type="http://schemas.openxmlformats.org/officeDocument/2006/relationships/hyperlink" Target="https://github.com/aluola/taintlab/blob/v2.0.1/scripts/verify_v2_experiments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TaintLab 项目开发与交付过程说明</dc:title>
  <dc:subject>发布 v2.0.1；冻结运行核心 2.0.0；全部业务模拟</dc:subject>
  <dc:creator>TaintLab 项目组（成员信息待补充）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