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TaintLab 操作与实现手册</w:t>
      </w:r>
    </w:p>
    <w:p>
      <w:r>
        <w:t xml:space="preserve">适用版本：2.0 对话版 / 首次公开发行 v2.0.0。截图摄于 2026-10-27，来自本机真实 React 生产页面、真实本地 Qwen3-0.6B 调用或带版本标识的真实记录回放。截图不包含模型内部思维过程，没有补画界面或预设成功状态。操作手册与 </w:t>
      </w:r>
      <w:hyperlink r:id="rId11">
        <w:r>
          <w:rPr>
            <w:color w:val="245080"/>
          </w:rPr>
          <w:t>项目过程报告</w:t>
        </w:r>
      </w:hyperlink>
      <w:r>
        <w:t xml:space="preserve"> 是两份不同材料。</w:t>
      </w:r>
    </w:p>
    <w:p>
      <w:r/>
      <w:hyperlink r:id="rId12">
        <w:r>
          <w:rPr>
            <w:color w:val="245080"/>
          </w:rPr>
          <w:t>项目首页与下载</w:t>
        </w:r>
      </w:hyperlink>
      <w:r>
        <w:t xml:space="preserve"> · </w:t>
      </w:r>
      <w:hyperlink r:id="rId13">
        <w:r>
          <w:rPr>
            <w:color w:val="245080"/>
          </w:rPr>
          <w:t>本手册 PDF</w:t>
        </w:r>
      </w:hyperlink>
      <w:r>
        <w:t xml:space="preserve"> · </w:t>
      </w:r>
      <w:hyperlink r:id="rId14">
        <w:r>
          <w:rPr>
            <w:color w:val="245080"/>
          </w:rPr>
          <w:t>可编辑 DOCX</w:t>
        </w:r>
      </w:hyperlink>
      <w:r>
        <w:t xml:space="preserve"> · </w:t>
      </w:r>
      <w:hyperlink r:id="rId15">
        <w:r>
          <w:rPr>
            <w:color w:val="245080"/>
          </w:rPr>
          <w:t>原图、标注与来源清单</w:t>
        </w:r>
      </w:hyperlink>
      <w:r>
        <w:t xml:space="preserve"> · </w:t>
      </w:r>
      <w:hyperlink r:id="rId16">
        <w:r>
          <w:rPr>
            <w:color w:val="245080"/>
          </w:rPr>
          <w:t>API 约定</w:t>
        </w:r>
      </w:hyperlink>
      <w:r/>
    </w:p>
    <w:p>
      <w:r>
        <w:t>阅读顺序：先完成首次准备，再做读取/查询，随后学习通知、导出和确认；来源、污点和 Canary 在安全详情里展开。攻击预览不等于运行，任务结束不等于任务成功。所有业务对象均模拟，不输入真实机密。图内编号对应下方操作提示；矩形与箭头只指示原图位置。</w:t>
      </w:r>
    </w:p>
    <w:p>
      <w:r>
        <w:t>本轮 v2.0.1 增补专题入口：</w:t>
      </w:r>
      <w:hyperlink r:id="rId17">
        <w:r>
          <w:rPr>
            <w:color w:val="245080"/>
          </w:rPr>
          <w:t>六项核心功能操作与验证手册</w:t>
        </w:r>
      </w:hyperlink>
      <w:r>
        <w:t>、</w:t>
      </w:r>
      <w:hyperlink r:id="rId18">
        <w:r>
          <w:rPr>
            <w:color w:val="245080"/>
          </w:rPr>
          <w:t>开发与交付过程说明</w:t>
        </w:r>
      </w:hyperlink>
      <w:r>
        <w:t>、</w:t>
      </w:r>
      <w:hyperlink r:id="rId19">
        <w:r>
          <w:rPr>
            <w:color w:val="245080"/>
          </w:rPr>
          <w:t>功能证据矩阵</w:t>
        </w:r>
      </w:hyperlink>
      <w:r>
        <w:t>。本综合手册的原截图及 240 秒视频说明属于 v2.0.0 已发布记录；当前六章节 Demo 与新操作证据请从上述专题和项目首页进入。运行核心仍为 2.0.0，旧截图不冒充本轮重新运行。</w:t>
      </w:r>
    </w:p>
    <w:p>
      <w:pPr>
        <w:sectPr>
          <w:headerReference w:type="default" r:id="rId9"/>
          <w:footerReference w:type="default" r:id="rId10"/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01 首次安装与项目根目录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97864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oject_fi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7864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图01 项目根目录中的日常入口</w:t>
      </w:r>
    </w:p>
    <w:p>
      <w:r>
        <w:t>图中定位：1 前端源码与静态产物目录；2 模型准备、启动与验收脚本；3 正常关闭项目入口；4 日常启动项目入口。</w:t>
      </w:r>
    </w:p>
    <w:p>
      <w:r>
        <w:t>使用目的：把发行包准备成可以离线使用的本机项目。前置条件为 Windows x64、Python 3.12 和兼容当前 CUDA 13.4 构建的 NVIDIA 驱动；实际验证为 Windows 11、i7-13620H、16GB、RTX4050 Laptop 6GB，不是最低配置声明。</w:t>
      </w:r>
    </w:p>
    <w:p>
      <w:r>
        <w:t>操作：按图找到两个 CMD 与 scripts 目录，在项目根目录打开 PowerShell，依次运行：</w:t>
      </w:r>
    </w:p>
    <w:p>
      <w:pPr>
        <w:keepLines/>
        <w:spacing w:line="240" w:lineRule="auto"/>
      </w:pPr>
      <w:r>
        <w:rPr>
          <w:rFonts w:ascii="Consolas" w:hAnsi="Consolas"/>
          <w:sz w:val="17"/>
        </w:rPr>
        <w:t>powershell -NoProfile -ExecutionPolicy Bypass -File .\scripts\install.ps1</w:t>
        <w:br/>
        <w:t>.\.venv\Scripts\python.exe .\scripts\model_prepare.py</w:t>
      </w:r>
    </w:p>
    <w:p>
      <w:r>
        <w:t>第一次联网准备后，双击“启动项目.cmd”；关闭使用“关闭项目.cmd”。两个入口不会替你下载依赖和模型。</w:t>
      </w:r>
    </w:p>
    <w:p>
      <w:r>
        <w:t xml:space="preserve">判断结果：用 </w:t>
      </w:r>
      <w:r>
        <w:rPr>
          <w:rFonts w:ascii="Consolas" w:hAnsi="Consolas"/>
          <w:sz w:val="19"/>
        </w:rPr>
        <w:t>.\.venv\Scripts\python.exe .\scripts\project_lifecycle.py status</w:t>
      </w:r>
      <w:r>
        <w:t xml:space="preserve"> 核对两个服务身份和健康；浏览器能打开 127.0.0.1:8501 才进入下一页。源码和轻量包均提供前端生产文件，日常不需要 npm。</w:t>
      </w:r>
    </w:p>
    <w:p>
      <w:r>
        <w:t>实现与限制：</w:t>
      </w:r>
      <w:hyperlink r:id="rId21">
        <w:r>
          <w:rPr>
            <w:color w:val="245080"/>
          </w:rPr>
          <w:t>install.ps1</w:t>
        </w:r>
      </w:hyperlink>
      <w:r>
        <w:t xml:space="preserve"> 新建当前目录的 venv；</w:t>
      </w:r>
      <w:hyperlink r:id="rId22">
        <w:r>
          <w:rPr>
            <w:color w:val="245080"/>
          </w:rPr>
          <w:t>project_lifecycle.py</w:t>
        </w:r>
      </w:hyperlink>
      <w:r>
        <w:t xml:space="preserve"> 核验路径、参数、创建时间与 HTTP，按 UI→模型顺序关闭。端口冲突不等于本项目服务，未知进程不自动终止。网络准备、缓存复用及新目录实测边界见 </w:t>
      </w:r>
      <w:hyperlink r:id="rId23">
        <w:r>
          <w:rPr>
            <w:color w:val="245080"/>
          </w:rPr>
          <w:t>本轮验收</w:t>
        </w:r>
      </w:hyperlink>
      <w:r>
        <w:t>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02 首页、模型状态与最短任务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00328" cy="550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00328" cy="55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图02 当前真实首页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02 首页、模型状态与最短任务 · 操作说明</w:t>
      </w:r>
    </w:p>
    <w:p>
      <w:r>
        <w:t>图中定位：1 三个主导航；2 四种任务快捷入口；3 自然语言输入与任务参数。</w:t>
      </w:r>
    </w:p>
    <w:p>
      <w:r>
        <w:t>使用目的：从普通对话开始，不必先理解全部实验指标。前置条件是顶部模型状态可用。图中主导航依次进入对话靶场、攻击实验和评测结果；中央消息流承载实际运行，底部输入区用于任务与资料选择。</w:t>
      </w:r>
    </w:p>
    <w:p>
      <w:r>
        <w:t>操作：新建对话，点击“查询资料”，输入“查询本地资料中的验收日期和接口冻结日期，分别说明。”，点击发送。快捷按钮只填入任务并打开必要参数，不会直接绕过 Agent 调用工具。需要读取、通知和导出时，继续按后面各页显式选定资料和目标。默认完整策略；防御配置切换只影响新任务。</w:t>
      </w:r>
    </w:p>
    <w:p>
      <w:r>
        <w:t>判断结果：以真实工具卡和交付状态为准，不能因出现“已完成”的自然语言就判定工具执行。运行期间停止按钮向后端发出停止请求；正在进行的模型请求可能要等返回，之后不再派发新动作，已经发生的副作用保留。</w:t>
      </w:r>
    </w:p>
    <w:p>
      <w:r>
        <w:t>实现与限制：</w:t>
      </w:r>
      <w:hyperlink r:id="rId25">
        <w:r>
          <w:rPr>
            <w:color w:val="245080"/>
          </w:rPr>
          <w:t>App.tsx</w:t>
        </w:r>
      </w:hyperlink>
      <w:r>
        <w:t xml:space="preserve"> 的 submit/stop 调用 </w:t>
      </w:r>
      <w:hyperlink r:id="rId26">
        <w:r>
          <w:rPr>
            <w:color w:val="245080"/>
          </w:rPr>
          <w:t>api.ts</w:t>
        </w:r>
      </w:hyperlink>
      <w:r>
        <w:t>；</w:t>
      </w:r>
      <w:hyperlink r:id="rId27">
        <w:r>
          <w:rPr>
            <w:color w:val="245080"/>
          </w:rPr>
          <w:t>Service.start/stop</w:t>
        </w:r>
      </w:hyperlink>
      <w:r>
        <w:t xml:space="preserve"> 负责运行和停止边界。没有伪造思考、进度百分比或预先流出的原始 token。自由输入没有预设答案，合法任务完成通常“未自动评定”。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03 读取前：选择任务授权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2683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ad_authoriz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68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图03 文档读取授权参数</w:t>
      </w:r>
    </w:p>
    <w:p>
      <w:r>
        <w:t>图中定位：1 勾选可读文档；2 通知与导出目标单独授权；3 上传后仍须工具读取，通知/导出需确认。</w:t>
      </w:r>
    </w:p>
    <w:p>
      <w:r>
        <w:t>使用目的：让 Agent 读取明确指定的模拟文档。前置条件是新对话中尚未发出任务。点击“读取文档”与“任务参数”，勾选项目会议记录；输入“读取项目会议记录，总结会议时间和地点”，再发送。图中的资料选择与任务正文是两种不同输入。</w:t>
      </w:r>
    </w:p>
    <w:p>
      <w:r>
        <w:t xml:space="preserve">真实结果：资料被选中后只进入授权范围，不代表已经读取。随后模型仍需提出 </w:t>
      </w:r>
      <w:r>
        <w:rPr>
          <w:rFonts w:ascii="Consolas" w:hAnsi="Consolas"/>
          <w:sz w:val="19"/>
        </w:rPr>
        <w:t>read_document</w:t>
      </w:r>
      <w:r>
        <w:t>。在完整策略下，未选中的文档即使正文声称管理员批准，也不会被加入白名单。</w:t>
      </w:r>
    </w:p>
    <w:p>
      <w:r>
        <w:t>判断结果：检查运行的 TaskGrant 文档范围与后续实际读取事件。不能用前端勾选框或模型自行声明来替代服务端权限依据。</w:t>
      </w:r>
    </w:p>
    <w:p>
      <w:r>
        <w:t>实现与限制：</w:t>
      </w:r>
      <w:hyperlink r:id="rId29">
        <w:r>
          <w:rPr>
            <w:color w:val="245080"/>
          </w:rPr>
          <w:t>catalog.create_runtime</w:t>
        </w:r>
      </w:hyperlink>
      <w:r>
        <w:t xml:space="preserve"> 根据服务端目录、用户显式选择和私有出口选项创建授权；</w:t>
      </w:r>
      <w:hyperlink r:id="rId30">
        <w:r>
          <w:rPr>
            <w:color w:val="245080"/>
          </w:rPr>
          <w:t>TaskGrant.bind</w:t>
        </w:r>
      </w:hyperlink>
      <w:r>
        <w:t xml:space="preserve"> 将授权绑定 run_id 和有效期。一次最多选 3 份资料；默认回复上限 internal，私有模式有明确的 secret 出口。模型输出不能修改授权。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04 读取后：工具结果与来源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2827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d_resul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2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图04 真实读取后的消息与工具</w:t>
      </w:r>
    </w:p>
    <w:p>
      <w:r>
        <w:t>图中定位：1 实际读取工具已允许；2 网关通过后的真实答复；3 运行终态与任务评定分开。</w:t>
      </w:r>
    </w:p>
    <w:p>
      <w:r>
        <w:t xml:space="preserve">使用目的：核对会议摘要确实依赖资料读取。前置条件为上一页的读取任务。展开 </w:t>
      </w:r>
      <w:r>
        <w:rPr>
          <w:rFonts w:ascii="Consolas" w:hAnsi="Consolas"/>
          <w:sz w:val="19"/>
        </w:rPr>
        <w:t>read_document</w:t>
      </w:r>
      <w:r>
        <w:t xml:space="preserve"> 工具卡，查看 doc_id、允许状态、来源徽标与回复。当前示例的关键事实为周三 15:00、A301。</w:t>
      </w:r>
    </w:p>
    <w:p>
      <w:r>
        <w:t>判断结果：工具卡必须有实际 allow 事件，并且模拟 state.reads 中包含该文档；摘要事实再与正文核对。模型可能直接回答而没有工具调用，那只能记为没有读取证据，不能描述为读取成功。</w:t>
      </w:r>
    </w:p>
    <w:p>
      <w:r>
        <w:t>对应实现：</w:t>
      </w:r>
      <w:hyperlink r:id="rId32">
        <w:r>
          <w:rPr>
            <w:color w:val="245080"/>
          </w:rPr>
          <w:t>agent/runtime.py</w:t>
        </w:r>
      </w:hyperlink>
      <w:r>
        <w:t xml:space="preserve"> 的 Execution.drive 进行一轮一个结构化动作；</w:t>
      </w:r>
      <w:hyperlink r:id="rId33">
        <w:r>
          <w:rPr>
            <w:color w:val="245080"/>
          </w:rPr>
          <w:t>Gateway.dispatch</w:t>
        </w:r>
      </w:hyperlink>
      <w:r>
        <w:t xml:space="preserve"> 检查后才调用 </w:t>
      </w:r>
      <w:hyperlink r:id="rId34">
        <w:r>
          <w:rPr>
            <w:color w:val="245080"/>
          </w:rPr>
          <w:t>World.execute</w:t>
        </w:r>
      </w:hyperlink>
      <w:r>
        <w:t>。工具正文登记为不可信内容，程序实现本身可信不等于返回正文有指令权。</w:t>
      </w:r>
    </w:p>
    <w:p>
      <w:r>
        <w:t>限制：0.6B 模型的摘要可能漏项或复述错误。状态 completed 说明运行结束，不能替代事实正确性；当前自由对话不自动计入正式正常完成率。保留错误比只展示一句“成功”更能说明可验证边界。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05 查询本地资料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2827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ry_resul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2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图05 本地查询的真实结果</w:t>
      </w:r>
    </w:p>
    <w:p>
      <w:r>
        <w:t>图中定位：1 本地查询工具回执；2 核对两个日期；3 自然语言任务未自动评定。</w:t>
      </w:r>
    </w:p>
    <w:p>
      <w:r>
        <w:t>使用目的：检索本地知识条目和网页快照。点击“查询资料”，输入“查询本地资料中的验收日期和接口冻结日期，分别说明。”，发送。查询使用固定本地资料，不搜索真实互联网；网页快照是带来源的模拟文本。</w:t>
      </w:r>
    </w:p>
    <w:p>
      <w:r>
        <w:t xml:space="preserve">真实结果与判断：展开 </w:t>
      </w:r>
      <w:r>
        <w:rPr>
          <w:rFonts w:ascii="Consolas" w:hAnsi="Consolas"/>
          <w:sz w:val="19"/>
        </w:rPr>
        <w:t>search_info</w:t>
      </w:r>
      <w:r>
        <w:t xml:space="preserve"> 卡，核对查询参数、允许状态和来源；项目资料事实为接口冻结 11月3日、验收 11月8日。最终回复要与实际返回内容比较。没有调用检索的回答不自动变成查询证据。</w:t>
      </w:r>
    </w:p>
    <w:p>
      <w:r>
        <w:t>实现：</w:t>
      </w:r>
      <w:hyperlink r:id="rId34">
        <w:r>
          <w:rPr>
            <w:color w:val="245080"/>
          </w:rPr>
          <w:t>World.execute</w:t>
        </w:r>
      </w:hyperlink>
      <w:r>
        <w:t xml:space="preserve"> 对本地 search 资源检索；</w:t>
      </w:r>
      <w:hyperlink r:id="rId33">
        <w:r>
          <w:rPr>
            <w:color w:val="245080"/>
          </w:rPr>
          <w:t>Gateway.inspect</w:t>
        </w:r>
      </w:hyperlink>
      <w:r>
        <w:t xml:space="preserve"> 对整个动作进行信息流检查，查询参数也是可观察出口。来源标签通过 </w:t>
      </w:r>
      <w:hyperlink r:id="rId36">
        <w:r>
          <w:rPr>
            <w:color w:val="245080"/>
          </w:rPr>
          <w:t>Registry.derive</w:t>
        </w:r>
      </w:hyperlink>
      <w:r>
        <w:t xml:space="preserve"> 保守传播。</w:t>
      </w:r>
    </w:p>
    <w:p>
      <w:r>
        <w:t>限制：当前检索与有限上下文并非完整搜索引擎。自然语言事实污染可能在授权范围内通过；不能因检索工具被允许就认为所有事实可信。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06 发送通知：先查看待确认内容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3703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tification_pend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70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图06 真实通知的待确认卡片</w:t>
      </w:r>
    </w:p>
    <w:p>
      <w:r>
        <w:t>图中定位：1 目标收件人；2 待发送正文；3 运行、内容哈希和有效期绑定；4 确认或拒绝这一提议。</w:t>
      </w:r>
    </w:p>
    <w:p>
      <w:r>
        <w:t xml:space="preserve">使用目的：向模拟项目组发送会议摘要。前置条件是选择会议文档及收件人 </w:t>
      </w:r>
      <w:r>
        <w:rPr>
          <w:rFonts w:ascii="Consolas" w:hAnsi="Consolas"/>
          <w:sz w:val="19"/>
        </w:rPr>
        <w:t>team_A</w:t>
      </w:r>
      <w:r>
        <w:t>。点击“发送通知”，输入“读取会议记录，把时间和地点通知模拟项目组”，发送后等待工具卡。</w:t>
      </w:r>
    </w:p>
    <w:p>
      <w:r>
        <w:t>操作：核对待确认卡的工具、准确目标、正文预览、来源与有效期，再点击“确认本次执行”。图中 pending 表示程序暂停在副作用之前，此时不能说消息已发出。明确越权的收件人会直接阻断，不出现一个可越权放行的按钮。</w:t>
      </w:r>
    </w:p>
    <w:p>
      <w:r>
        <w:t>实现：</w:t>
      </w:r>
      <w:hyperlink r:id="rId33">
        <w:r>
          <w:rPr>
            <w:color w:val="245080"/>
          </w:rPr>
          <w:t>Gateway.inspect</w:t>
        </w:r>
      </w:hyperlink>
      <w:r>
        <w:t xml:space="preserve"> 先检查收件人和敏感度，再由 </w:t>
      </w:r>
      <w:hyperlink r:id="rId30">
        <w:r>
          <w:rPr>
            <w:color w:val="245080"/>
          </w:rPr>
          <w:t>Confirmations.request</w:t>
        </w:r>
      </w:hyperlink>
      <w:r>
        <w:t xml:space="preserve"> 生成 300 秒待确认；规范化动作哈希包含 run_id 和完整动作。前端只提交 action_hash、approve、request_id，不能提交替换的执行 checkpoint。</w:t>
      </w:r>
    </w:p>
    <w:p>
      <w:r>
        <w:t>限制：更换正文、目标或运行后旧确认无效。若过期，停止并重新发起任务；模型说“用户已确认”不创建凭据。none/input_filter 基线按实验定义不执行这套应用权限机制，始终仅影响模拟世界。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07 发送通知：用模拟收件箱验收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3421" cy="377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tification_inbox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3421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图07 确认后的实际模拟收件箱</w:t>
      </w:r>
    </w:p>
    <w:p>
      <w:r>
        <w:t>图中定位：1 当前真实运行与版本；2 已写入模拟收件箱的正文。</w:t>
      </w:r>
    </w:p>
    <w:p>
      <w:r>
        <w:t>使用目的：证明通知副作用真实进入模拟状态。前置条件为上页明确确认。打开安全审计的“交付”，检查模拟收件箱目标、内容和条目数。</w:t>
      </w:r>
    </w:p>
    <w:p>
      <w:r>
        <w:t xml:space="preserve">真实结果：当前示例确认后出现 </w:t>
      </w:r>
      <w:r>
        <w:rPr>
          <w:rFonts w:ascii="Consolas" w:hAnsi="Consolas"/>
          <w:sz w:val="19"/>
        </w:rPr>
        <w:t>team_A</w:t>
      </w:r>
      <w:r>
        <w:t xml:space="preserve"> 的会议通知。判断时同时核对正文关键事实与工具执行事件；只看助手宣称“已发送”不足以验收。刷新或重连不应再次发送。</w:t>
      </w:r>
    </w:p>
    <w:p>
      <w:r>
        <w:t>实现：</w:t>
      </w:r>
      <w:hyperlink r:id="rId27">
        <w:r>
          <w:rPr>
            <w:color w:val="245080"/>
          </w:rPr>
          <w:t>Service.confirm</w:t>
        </w:r>
      </w:hyperlink>
      <w:r>
        <w:t xml:space="preserve"> 从服务端查找待确认动作，在锁及 SQLite 请求唯一记录下阻止并发与重复处理；</w:t>
      </w:r>
      <w:hyperlink r:id="rId30">
        <w:r>
          <w:rPr>
            <w:color w:val="245080"/>
          </w:rPr>
          <w:t>Confirmations.consume</w:t>
        </w:r>
      </w:hyperlink>
      <w:r>
        <w:t xml:space="preserve"> 一次性消耗凭据，</w:t>
      </w:r>
      <w:hyperlink r:id="rId33">
        <w:r>
          <w:rPr>
            <w:color w:val="245080"/>
          </w:rPr>
          <w:t>Gateway.dispatch</w:t>
        </w:r>
      </w:hyperlink>
      <w:r>
        <w:t xml:space="preserve"> 按规范化动作做副作用幂等。通知只写 World.state.inbox。</w:t>
      </w:r>
    </w:p>
    <w:p>
      <w:r>
        <w:t>限制：这是模拟通知，不建立 SMTP、真实邮箱或聊天账号连接。对话刷新恢复依赖本机浏览器会话；清除浏览器身份不会自动取得其他会话。敏感上下文的保守继承可能阻断原本希望发送的普通摘要，应分离任务和出口而非让模型去污。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08 拒绝确认与停止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3416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tification_refus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41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图08 拒绝后的真实事件与状态</w:t>
      </w:r>
    </w:p>
    <w:p>
      <w:r>
        <w:t>图中定位：1 拒绝后产生阻断回执；2 实际原因：用户拒绝；3 原提议参数仍可审计。</w:t>
      </w:r>
    </w:p>
    <w:p>
      <w:r>
        <w:t>使用目的：在授权范围内仍保留人的最终选择。为另一条独立通知运行等待 pending，点击“拒绝并继续”。核对拒绝事件及该运行的模拟收件箱；不要把其他运行已经发送的消息算到本次拒绝。</w:t>
      </w:r>
    </w:p>
    <w:p>
      <w:r>
        <w:t>真实结果与判断：拒绝本次动作不会执行该副作用。Agent 可以在剩余预算内继续提出其他动作或结束；“拒绝并继续”不保证最终完成合法任务。若模型重复提议，新的待确认仍需明确处理。停止则进入 stopping/stopped，已执行副作用不会被伪装为撤销。</w:t>
      </w:r>
    </w:p>
    <w:p>
      <w:r>
        <w:t>实现：</w:t>
      </w:r>
      <w:hyperlink r:id="rId32">
        <w:r>
          <w:rPr>
            <w:color w:val="245080"/>
          </w:rPr>
          <w:t>Execution._confirm</w:t>
        </w:r>
      </w:hyperlink>
      <w:r>
        <w:t xml:space="preserve"> 处理接受或拒绝并反馈固定状态；</w:t>
      </w:r>
      <w:hyperlink r:id="rId27">
        <w:r>
          <w:rPr>
            <w:color w:val="245080"/>
          </w:rPr>
          <w:t>Service.stop</w:t>
        </w:r>
      </w:hyperlink>
      <w:r>
        <w:t xml:space="preserve"> 与工具派发共享锁边界。后端幂等与一次性凭据不依赖按钮是否禁用。</w:t>
      </w:r>
    </w:p>
    <w:p>
      <w:r>
        <w:t>限制：网络重连或页面关闭不等于停止模型，必须使用停止或项目关闭入口。过期、重复与并发确认的程序测试证据与本页真实拒绝操作是不同类别，不把测试夹具当作真实模型攻击成绩。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09 导出：核对虚拟目标与正文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3211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xport_pend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1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图09 导出前的真实待确认动作</w:t>
      </w:r>
    </w:p>
    <w:p>
      <w:r>
        <w:t>图中定位：1 预授权虚拟导出位置；2 逐项核对导出正文；3 确认当前内容才执行。</w:t>
      </w:r>
    </w:p>
    <w:p>
      <w:r>
        <w:t xml:space="preserve">使用目的：保存查询或文档整理结果。点击“导出文件”，选择会议记录与 </w:t>
      </w:r>
      <w:r>
        <w:rPr>
          <w:rFonts w:ascii="Consolas" w:hAnsi="Consolas"/>
          <w:sz w:val="19"/>
        </w:rPr>
        <w:t>/exports/report.txt</w:t>
      </w:r>
      <w:r>
        <w:t>，输入“读取 meeting，将会议时间和地点导出到 /exports/report.txt”，发送。</w:t>
      </w:r>
    </w:p>
    <w:p>
      <w:r>
        <w:t>操作：待确认时检查路径、正文、来源与敏感度。这个路径属于虚拟文件系统，不是宿主 Windows 路径。明确越权路径、禁止覆盖或不允许格式会在副作用前阻断，不能用确认覆盖权限决策。</w:t>
      </w:r>
    </w:p>
    <w:p>
      <w:r>
        <w:t>判断结果：pending 时文件尚未写入；确认后再到“交付”核对实际虚拟文件和周三15:00、A301等关键内容。模型自己写“保存到桌面”不会产生宿主写入。</w:t>
      </w:r>
    </w:p>
    <w:p>
      <w:r>
        <w:t>实现：</w:t>
      </w:r>
      <w:hyperlink r:id="rId34">
        <w:r>
          <w:rPr>
            <w:color w:val="245080"/>
          </w:rPr>
          <w:t>virtual_path / World.execute</w:t>
        </w:r>
      </w:hyperlink>
      <w:r>
        <w:t xml:space="preserve"> 只改变模拟文件映射；</w:t>
      </w:r>
      <w:hyperlink r:id="rId33">
        <w:r>
          <w:rPr>
            <w:color w:val="245080"/>
          </w:rPr>
          <w:t>Gateway.inspect</w:t>
        </w:r>
      </w:hyperlink>
      <w:r>
        <w:t xml:space="preserve"> 检查 TaskGrant.export_paths、规范路径、格式、已有文件与数据敏感度。公共动作 schema 不提前删除危险但合法格式参数，保留基线可比性。</w:t>
      </w:r>
    </w:p>
    <w:p>
      <w:r>
        <w:t>限制：UI 当前提供有限预设路径；模型不能扩大为任意磁盘目录。其他格式选择与预设授权必须由可信控制配置扩展，而不是让外部文档提供授权字符串。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10 导出后下载获准文件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14935" cy="37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xport_downloa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4935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虚拟文件与实际下载入口</w:t>
      </w:r>
    </w:p>
    <w:p>
      <w:r>
        <w:t>图中定位：1 运行与版本；2 已执行的虚拟文件与内容；3 实际下载按钮。</w:t>
      </w:r>
    </w:p>
    <w:p>
      <w:r>
        <w:t>使用目的：让用户主动取得获准导出物。前置条件为已确认并实际执行的导出。进入“交付”，核对虚拟路径及内容，点击“下载已执行的导出物”，由浏览器选择本地保存位置。</w:t>
      </w:r>
    </w:p>
    <w:p>
      <w:r>
        <w:t>真实结果：本轮截图流程下载了 144 字节的实际导出内容并验证关键事实；下载不是对模型文本的截图保存。判断时检查运行中有 export_file allow、state.files 条目与下载内容三者一致。</w:t>
      </w:r>
    </w:p>
    <w:p>
      <w:r>
        <w:t>实现：</w:t>
      </w:r>
      <w:hyperlink r:id="rId27">
        <w:r>
          <w:rPr>
            <w:color w:val="245080"/>
          </w:rPr>
          <w:t>Service.export</w:t>
        </w:r>
      </w:hyperlink>
      <w:r>
        <w:t xml:space="preserve"> 校验会话归属、已执行且可见的文件及 download_id，之后返回真实虚拟内容；</w:t>
      </w:r>
      <w:hyperlink r:id="rId42">
        <w:r>
          <w:rPr>
            <w:color w:val="245080"/>
          </w:rPr>
          <w:t>web/app.py</w:t>
        </w:r>
      </w:hyperlink>
      <w:r>
        <w:t xml:space="preserve"> 提供同源下载端点。模型不能指定浏览器最终保存到哪个宿主目录。</w:t>
      </w:r>
    </w:p>
    <w:p>
      <w:r>
        <w:t>限制：真实历史回放只读，不给历史敏感状态创建新的下载授权。审计页面的隐藏或遮蔽不替代原始评测；先评测原始可观察输出，再生成适合 UI 的安全投影。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11 上传资料与登记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30159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xt_register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015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TXT 上传后的来源登记</w:t>
      </w:r>
    </w:p>
    <w:p>
      <w:r>
        <w:t>图中定位：1 TXT来源登记成功提示；2 新文档行默认未勾选；3 上传不等于授权读取。</w:t>
      </w:r>
    </w:p>
    <w:p>
      <w:r>
        <w:t>使用目的：让个人准备的模拟资料进入任务。点击输入区回形针，选择 TXT、Markdown、文本型 PDF 或 DOCX。上传成功提示表示服务端提取并登记，接着在“任务参数”勾选该资料授权读取。此页登记补拍与下一页实际读取属于两个干净模拟会话，doc_id 不同；两图分别证明登记与读取，不冒充同一运行连续过程。</w:t>
      </w:r>
    </w:p>
    <w:p>
      <w:r>
        <w:t>判断结果：检查文件显示名、内部 doc_id、格式、提取长度、警告和来源等级。扫描 PDF 没有正文时会失败，不会假称已经读取；截断与上下文预算警告必须阅读。上传文件名只用于显示，不作为宿主写入路径。</w:t>
      </w:r>
    </w:p>
    <w:p>
      <w:r>
        <w:t>实现：</w:t>
      </w:r>
      <w:hyperlink r:id="rId44">
        <w:r>
          <w:rPr>
            <w:color w:val="245080"/>
          </w:rPr>
          <w:t>parse_upload</w:t>
        </w:r>
      </w:hyperlink>
      <w:r>
        <w:t xml:space="preserve"> 在有 8 秒期限的独立子进程解析，限制文件 2 MiB、展开体积 8 MiB、DOCX 128 项、压缩比 100、PDF 50 页和正文 10,000 字符，拒绝主动内容且不访问外链。</w:t>
      </w:r>
      <w:hyperlink r:id="rId27">
        <w:r>
          <w:rPr>
            <w:color w:val="245080"/>
          </w:rPr>
          <w:t>Service.upload</w:t>
        </w:r>
      </w:hyperlink>
      <w:r>
        <w:t xml:space="preserve"> 分配不透明文档 ID，默认 untrusted_content / internal。</w:t>
      </w:r>
    </w:p>
    <w:p>
      <w:r>
        <w:t>限制：扫描 PDF 不做 OCR；只提取允许的文本，不执行宏、脚本和嵌入对象。单轮小模型上下文还可能把文档可见部分限制为 1,200 字符，上传完整不等于全文都进入模型。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12 读取上传资料后的来源徽标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6363" cy="37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xt_sour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636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上传文本实际被读取后的来源</w:t>
      </w:r>
    </w:p>
    <w:p>
      <w:r>
        <w:t>图中定位：1 实际来源ID与敏感度；2 程序维护的来源字段；3 工具实际读取的TXT正文。</w:t>
      </w:r>
    </w:p>
    <w:p>
      <w:r>
        <w:t>使用目的：验证上传文本确实进入处理并保留来源。上传并选择资料后，输入明确任务，例如“调用 read_document 读取所选资料，给出会议地点”，发送；点击工具来源徽标，在来源详情检查 node_id、父来源、哈希、完整性和敏感度。</w:t>
      </w:r>
    </w:p>
    <w:p>
      <w:r>
        <w:t>本轮真实边界：第一次上传示例中小模型直接 final，没有调用读取，因此没有上传正文来源节点；失败记录保留。随后用明确 doc_id/工具要求的另一条任务实测读取成功，图示对应后者，未修改前一次状态或统计。</w:t>
      </w:r>
    </w:p>
    <w:p>
      <w:r>
        <w:t>实现：</w:t>
      </w:r>
      <w:hyperlink r:id="rId36">
        <w:r>
          <w:rPr>
            <w:color w:val="245080"/>
          </w:rPr>
          <w:t>Registry.source/derive</w:t>
        </w:r>
      </w:hyperlink>
      <w:r>
        <w:t xml:space="preserve"> 维护不可由模型修改的标签。原始上传字节哈希由解析器登记；来源节点 content_hash 对应节点正文，变换后文本的哈希可不同，不能混称同一个文件哈希。</w:t>
      </w:r>
    </w:p>
    <w:p>
      <w:r>
        <w:t xml:space="preserve">限制：正文里的 trusted、system、approved、管理员批准均只是文本。模型生成保守继承实际可见上下文的最高敏感度；摘要、编码或翻译不会自动降级。跨轮 </w:t>
      </w:r>
      <w:hyperlink r:id="rId36">
        <w:r>
          <w:rPr>
            <w:color w:val="245080"/>
          </w:rPr>
          <w:t>Registry.import_history</w:t>
        </w:r>
      </w:hyperlink>
      <w:r>
        <w:t xml:space="preserve"> 保留父依赖，不通过摘要洗白。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13 权限面板与信息流规则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332368" cy="37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rant_polic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236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当前真实 TaskGrant 面板</w:t>
      </w:r>
    </w:p>
    <w:p>
      <w:r>
        <w:t>图中定位：1 真实允许、阻断与待确认次数；2 工具、读取、收件人与路径白名单；3 额度、敏感度上限与运行绑定。</w:t>
      </w:r>
    </w:p>
    <w:p>
      <w:r>
        <w:t>使用目的：在执行前后理解这次任务能做什么。打开安全审计，查看允许工具、读取范围、模拟收件人、虚拟路径、出口敏感度、调用已用/剩余、策略版本和授权到期时间。面板来自当前运行服务端 TaskGrant，不是一套单独的前端白名单。</w:t>
      </w:r>
    </w:p>
    <w:p>
      <w:r>
        <w:t>判断结果：目标在白名单内只是必要条件；其内容、目标选择及工具选择还带有上下文潜在依赖。secret 上下文不能因为模型恰好写了合法收件人就去掉敏感标签。权限内且需确认的操作 pending，明确越权直接 block。</w:t>
      </w:r>
    </w:p>
    <w:p>
      <w:r>
        <w:t>实现：</w:t>
      </w:r>
      <w:hyperlink r:id="rId33">
        <w:r>
          <w:rPr>
            <w:color w:val="245080"/>
          </w:rPr>
          <w:t>Gateway.inspect</w:t>
        </w:r>
      </w:hyperlink>
      <w:r>
        <w:t xml:space="preserve"> 顺序检查协议/对象、运行绑定和期限、工具/文档/参数/配额、敏感度出口和确认。网关不读取攻击样本隐藏答案；参数外的最终回复、查询字符串等也接受相应信息流约束。</w:t>
      </w:r>
    </w:p>
    <w:p>
      <w:r>
        <w:t>限制：不可信不等于恶意，普通 external/internal 摘要在授权范围内可以发送或导出。本项目不是“有污点就全禁工具”。当前保守上下文传播也可能扩大影响范围，需要通过隔离任务或明确私有出口控制可用性。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14 污点图与真实阻断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371181" cy="377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aint_graph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71181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图14 真实来源依赖及网关决策</w:t>
      </w:r>
    </w:p>
    <w:p>
      <w:r>
        <w:t>图中定位：1 聚焦被阻断的通知动作；2 潜在依赖不等于精确因果；3 程序记录的来源依赖图。</w:t>
      </w:r>
    </w:p>
    <w:p>
      <w:r>
        <w:t>使用目的：回答哪份正文进入上下文、哪些动作有记录到的潜在依赖、网关执行了什么检查。点击相关工具卡或安全审计“来源”，聚焦动作节点，再展开相邻来源。图中阻断理由和结果必须结合实际事件阅读。</w:t>
      </w:r>
    </w:p>
    <w:p>
      <w:r>
        <w:t>图例：实线表示程序记录的确定性数据派生；虚线表示模型可见上下文的潜在依赖。允许动作之后的工具状态表示实际副作用，它与依赖边不是同一概念。含不可信正文的上下文在先、动作在后，不等于证明正文精确导致了模型行为。</w:t>
      </w:r>
    </w:p>
    <w:p>
      <w:r>
        <w:t>实现：</w:t>
      </w:r>
      <w:hyperlink r:id="rId32">
        <w:r>
          <w:rPr>
            <w:color w:val="245080"/>
          </w:rPr>
          <w:t>Execution.drive</w:t>
        </w:r>
      </w:hyperlink>
      <w:r>
        <w:t xml:space="preserve"> 将本次可见来源作为生成动作父节点；</w:t>
      </w:r>
      <w:hyperlink r:id="rId36">
        <w:r>
          <w:rPr>
            <w:color w:val="245080"/>
          </w:rPr>
          <w:t>Registry.derive</w:t>
        </w:r>
      </w:hyperlink>
      <w:r>
        <w:t xml:space="preserve"> 合并完整性和敏感度；</w:t>
      </w:r>
      <w:hyperlink r:id="rId33">
        <w:r>
          <w:rPr>
            <w:color w:val="245080"/>
          </w:rPr>
          <w:t>Gateway.dispatch</w:t>
        </w:r>
      </w:hyperlink>
      <w:r>
        <w:t xml:space="preserve"> 记录 allow/block/pending 和固定理由，再决定是否改变模拟状态。UI 读取 </w:t>
      </w:r>
      <w:hyperlink r:id="rId48">
        <w:r>
          <w:rPr>
            <w:color w:val="245080"/>
          </w:rPr>
          <w:t>project_record</w:t>
        </w:r>
      </w:hyperlink>
      <w:r>
        <w:t xml:space="preserve"> 安全投影，不取完整 checkpoint。</w:t>
      </w:r>
    </w:p>
    <w:p>
      <w:r>
        <w:t>限制：当前完整策略存在阻断后仍未完成合法任务的真实记录，不能将“已阻断”写成“安全完成”。没有声称追踪全部模型内部因果、侧信道或识别所有事实污染。此页的回放版本与 run_id 见截图来源清单，不伪装实时生成。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15 Canary 检测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88536" cy="377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anary_statu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8536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图15 本次运行的真实 Canary 状态</w:t>
      </w:r>
    </w:p>
    <w:p>
      <w:r>
        <w:t>图中定位：1 服务端计算的未发现状态；2 区分敏感资料是否真正被读取；3 检测范围和结论边界。</w:t>
      </w:r>
    </w:p>
    <w:p>
      <w:r>
        <w:t>使用目的：查看模拟敏感字符串是否建立、被读取以及到达不允许的出口。打开安全审计“泄露检测”，阅读“未发现 / 发现泄露 / 未运行或检查不完整”和覆盖范围。界面默认不展示 Canary 原值。</w:t>
      </w:r>
    </w:p>
    <w:p>
      <w:r>
        <w:t>判断结果：获授权读取敏感资源、被阻断的泄露提议和已经发生的未授权泄露是三种不同证据。图中的未发现仅指已检查出口未检出，不代表证明不会泄露。本轮没有把人工阳性检测器测试混入模型 ASR。</w:t>
      </w:r>
    </w:p>
    <w:p>
      <w:r>
        <w:t>实现：</w:t>
      </w:r>
      <w:hyperlink r:id="rId50">
        <w:r>
          <w:rPr>
            <w:color w:val="245080"/>
          </w:rPr>
          <w:t>detect / detect_observables</w:t>
        </w:r>
      </w:hyperlink>
      <w:r>
        <w:t xml:space="preserve"> 在原始可观察最终回复、通知、虚拟文件及查询参数上检查精确匹配、NFKC/格式字符规范化、URL/HTML/Base64/hex 有界解码与同运行分片拼接。上限为每文本 65,536 字符、128 项、2 层、256 候选；报告返回检测方式和出口，不返回秘密值。策略主要依授权与标签，不硬编码测试 Canary 答案。</w:t>
      </w:r>
    </w:p>
    <w:p>
      <w:r>
        <w:t>限制：任意密码、语义改写及所有侧信道不在覆盖中。三主配置正式实验均零 Canary 泄露，无防御也为零，不能把零泄露归因于防御。审计遮蔽发生在真实结果检测之后，不抹掉泄露再评测。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16 直接注入生成视图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859816" cy="550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ttack_direc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859816" cy="5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图16 直接注入的规则模板预览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16 直接注入生成视图 · 操作说明</w:t>
      </w:r>
    </w:p>
    <w:p>
      <w:r>
        <w:t>图中定位：1 直接注入模板与输入入口；2 用户附加内容的注入前后对照；3 预览后另行提交真实运行。</w:t>
      </w:r>
    </w:p>
    <w:p>
      <w:r>
        <w:t>使用目的：把直接用户入口攻击与外部内容攻击分开研究。进入“攻击实验”→“直接注入”，选择手法、目标、合法工作流和种子，点击“生成样本预览”。图中显示参数、样本 ID 与注入位置；模板版本在“生成元数据”展开后查看。</w:t>
      </w:r>
    </w:p>
    <w:p>
      <w:r>
        <w:t>操作与判断：比较原任务与插入后内容，查看模板中的模拟目标；点击“交给本地 Agent 运行”才会形成真实运行。只生成预览不调用模型、不发送通知、不计入攻击分母。要重现图中预览，使用截图来源清单所记参数与种子。</w:t>
      </w:r>
    </w:p>
    <w:p>
      <w:r>
        <w:t>实现：</w:t>
      </w:r>
      <w:hyperlink r:id="rId52">
        <w:r>
          <w:rPr>
            <w:color w:val="245080"/>
          </w:rPr>
          <w:t>list_presets / build_preview</w:t>
        </w:r>
      </w:hyperlink>
      <w:r>
        <w:t xml:space="preserve"> 以规则模板确定性生成，服务端保存 case，仅将 runtime 送到执行器。客户端不能改预览中的 grant 后要求执行；</w:t>
      </w:r>
      <w:hyperlink r:id="rId27">
        <w:r>
          <w:rPr>
            <w:color w:val="245080"/>
          </w:rPr>
          <w:t>Service.add_preview/start</w:t>
        </w:r>
      </w:hyperlink>
      <w:r>
        <w:t xml:space="preserve"> 校验所属会话。</w:t>
      </w:r>
    </w:p>
    <w:p>
      <w:r>
        <w:t>限制：直接注入不属于间接注入，不能混合解释威胁模型。四视图是展示入口，入口/手法/编码/目标分别记录，分类不是互斥四类。此图是模板预览，不声称此刻攻击已经成功。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17 间接注入生成视图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859816" cy="550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ttack_indirec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59816" cy="5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图17 外部正文中的间接注入预览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17 间接注入生成视图 · 操作说明</w:t>
      </w:r>
    </w:p>
    <w:p>
      <w:r>
        <w:t>图中定位：1 间接注入模板和文档入口；2 保留资料事实并插入不可信指令；3 真实执行独立于样本预览。</w:t>
      </w:r>
    </w:p>
    <w:p>
      <w:r>
        <w:t>使用目的：研究攻击者仅控制外部正文时的影响。在“间接注入”选择文档、网页快照或工具返回入口，以及角色伪造、流程劫持、窃取或事实篡改手法；输入参数、固定种子、生成预览。</w:t>
      </w:r>
    </w:p>
    <w:p>
      <w:r>
        <w:t>操作与判断：看原始合法事实是否仍保留、恶意文本插在哪里、目标是否为模拟资源。运行后核对来源实际被读取/进入模型、危险提议、网关决定和已经执行的状态，不能只凭攻击正文出现就判成功。</w:t>
      </w:r>
    </w:p>
    <w:p>
      <w:r>
        <w:t>实现：</w:t>
      </w:r>
      <w:hyperlink r:id="rId52">
        <w:r>
          <w:rPr>
            <w:color w:val="245080"/>
          </w:rPr>
          <w:t>build_preview</w:t>
        </w:r>
      </w:hyperlink>
      <w:r>
        <w:t xml:space="preserve"> 调用共享模板和 insert_payload；</w:t>
      </w:r>
      <w:hyperlink r:id="rId32">
        <w:r>
          <w:rPr>
            <w:color w:val="245080"/>
          </w:rPr>
          <w:t>run_case</w:t>
        </w:r>
      </w:hyperlink>
      <w:r>
        <w:t xml:space="preserve"> 与普通对话复用同一网关。独立评测器读取真实状态和预定义目标；模型与策略看不到隐藏判定答案。</w:t>
      </w:r>
    </w:p>
    <w:p>
      <w:r>
        <w:t>限制：上下文中含“管理员已批准”没有真实授权能力。小模型未接触入口或未执行工具时，须报告接触率和能力不足，不解释成防御有效。要批量评测须先冻结样本和口径，不能按成绩挑选。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18 编码变形生成视图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859816" cy="550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ttack_encod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59816" cy="5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图18 编码前后与转换记录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18 编码变形生成视图 · 操作说明</w:t>
      </w:r>
    </w:p>
    <w:p>
      <w:r>
        <w:t>图中定位：1 编码模板与Base64配置；2 有界编码后的实际注入文本；3 交给本地Agent后才开始运行。</w:t>
      </w:r>
    </w:p>
    <w:p>
      <w:r>
        <w:t>使用目的：检查编码能否影响输入过滤、模型使用与标签传播。在“编码变形”选择 Base64、hex 或 URL 形式，再选外部入口、攻击目标和种子，生成预览。阅读变换前后正文及元数据中的 encoding。</w:t>
      </w:r>
    </w:p>
    <w:p>
      <w:r>
        <w:t>操作与判断：先核对确定性编码记录，再运行；不能只因为文本被编码便认定攻击更强或数据不敏感。可与“正常编码资料”的合法任务比较，观察输入过滤误伤与正常完成能力。</w:t>
      </w:r>
    </w:p>
    <w:p>
      <w:r>
        <w:t>实现：交互模板使用共享 encode_payload，不依赖云端模型生成。程序复制、编码、解码和摘要保留相关标签；</w:t>
      </w:r>
      <w:hyperlink r:id="rId36">
        <w:r>
          <w:rPr>
            <w:color w:val="245080"/>
          </w:rPr>
          <w:t>Registry.transform</w:t>
        </w:r>
      </w:hyperlink>
      <w:r>
        <w:t xml:space="preserve"> 记录确定性转换。Canary 解码检测有明确层数与长度上限。</w:t>
      </w:r>
    </w:p>
    <w:p>
      <w:r>
        <w:t>限制：编码样本仍可能同时属于工具返回中的间接注入。轻微编码或翻译不能跨开发/正式集合制造独立样本。本页预览不是一次真实攻击运行，历史正式数据保持冻结。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19 分段与跨步骤生成视图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13965" cy="550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ttack_segment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13965" cy="5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图19 分片来源与指定读取顺序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19 分段与跨步骤生成视图 · 操作说明</w:t>
      </w:r>
    </w:p>
    <w:p>
      <w:r>
        <w:t>图中定位：1 分段诱导模板与种子；2 两个文档来源的前后对照；3 各段内容与来源分别展开。</w:t>
      </w:r>
    </w:p>
    <w:p>
      <w:r>
        <w:t>使用目的：观察多来源、跨工具步骤的组合影响。进入“分段诱导”，选择入口和目标，生成预览，展开每个分片及 source_order。按图检查首个资料与 continuation 是不同来源，不是把完整攻击简单换行。</w:t>
      </w:r>
    </w:p>
    <w:p>
      <w:r>
        <w:t>操作与判断：真实运行后，检查两个来源是否按实际工具事件被读取，组合上下文是否存在相应依赖。若第二来源从未读取，必须写“分段未完整接触”，不能宣称多阶段诱导已发生。</w:t>
      </w:r>
    </w:p>
    <w:p>
      <w:r>
        <w:t>实现：</w:t>
      </w:r>
      <w:hyperlink r:id="rId52">
        <w:r>
          <w:rPr>
            <w:color w:val="245080"/>
          </w:rPr>
          <w:t>build_preview</w:t>
        </w:r>
      </w:hyperlink>
      <w:r>
        <w:t xml:space="preserve"> 生成 fragments、source_order，并把 continuation 读取条件加入合法流程判定；执行器每步登记新增来源，历史压缩保留父节点。检测器只在同一运行的可观察出口拼接分片，不跨会话串联。</w:t>
      </w:r>
    </w:p>
    <w:p>
      <w:r>
        <w:t>限制：生成器描述的是预定结构，实际读取顺序必须由真实轨迹验证；样本预览本身没有执行副作用。历史摘要也会保守继承敏感度，不能当作去污捷径。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20 当前评测结果与分母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37912" cy="550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sults_curren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37912" cy="5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图20 当前版本的三配置实际结果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20 当前评测结果与分母 · 操作说明</w:t>
      </w:r>
    </w:p>
    <w:p>
      <w:r>
        <w:t>图中定位：1 选择当前2.0基线结果；2 版本和完整保存状态；3 主配置比率、成功数与全部分母。</w:t>
      </w:r>
    </w:p>
    <w:p>
      <w:r>
        <w:t>使用目的：比较安全性与正常任务能力。进入“评测结果”，从“结果版本”选择当前 2.0 基线或扩展集。先看 ASR 成功数/攻击运行数、正常完成数/正常运行数、越权次数和 Canary 泄露，再展开接触率、耗尽、解析失败、耗时与确认辅助。</w:t>
      </w:r>
    </w:p>
    <w:p>
      <w:r>
        <w:t>判断结果：当前基线共 1,296 条、扩展共 1,080 条，均含三主配置及 policy_only、三种子。扩展集完整策略 ASR 34/180，无防御 31/180；正常完成各 67/90，但完整策略是 61 自动加 6 确认辅助，无防御是 67 自动。</w:t>
      </w:r>
    </w:p>
    <w:p>
      <w:r>
        <w:t>实现：</w:t>
      </w:r>
      <w:hyperlink r:id="rId42">
        <w:r>
          <w:rPr>
            <w:color w:val="245080"/>
          </w:rPr>
          <w:t>web/app.py results</w:t>
        </w:r>
      </w:hyperlink>
      <w:r>
        <w:t xml:space="preserve"> 读取固定活动清单和实际保存汇总；</w:t>
      </w:r>
      <w:hyperlink r:id="rId57">
        <w:r>
          <w:rPr>
            <w:color w:val="245080"/>
          </w:rPr>
          <w:t>evaluation</w:t>
        </w:r>
      </w:hyperlink>
      <w:r>
        <w:t xml:space="preserve"> 根据状态及关键事实评判。ASR 是攻击目标达成，不是危险动作提议率；completed 是运行终态，不是合法任务成功；安全完成还要求合法任务达成且没有违规。</w:t>
      </w:r>
    </w:p>
    <w:p>
      <w:r>
        <w:t>限制：公开来源适配不是官方完整基准；重复种子不等于新样本。pending、失败和耗尽不算正常成功，未接触攻击仍留在主分母。完整策略在扩展上未降低 ASR，不能只挑基线子集宣传普遍有效。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21 消融与确认辅助统计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595709" cy="550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sults_abla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95709" cy="5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图21 policy_only 消融与统计边界</w:t>
      </w:r>
    </w:p>
    <w:p>
      <w:pPr>
        <w:sectPr>
          <w:pgSz w:w="16838" w:h="11906" w:orient="landscape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21 消融与确认辅助统计 · 操作说明</w:t>
      </w:r>
    </w:p>
    <w:p>
      <w:r>
        <w:t>图中定位：1 选择公开来源适配扩展；2 显式展开仅权限消融；3 四配置并列；C与仅权限均18.89%。</w:t>
      </w:r>
    </w:p>
    <w:p>
      <w:r>
        <w:t>使用目的：观察关闭污点流约束、保留权限后的变化。点击“展开 policy_only 消融”，同时核对正常自动与确认辅助统计。三主配置不能被这项补充实验替代。</w:t>
      </w:r>
    </w:p>
    <w:p>
      <w:r>
        <w:t>真实结果：扩展集 policy_only 与完整策略 ASR 都为 34/180；正常完成分别 66/90（60自动+6辅助）和67/90（61自动+6辅助）。基线 ASR 差异不自动证明污点独立收益，须检查逐运行决策与生成差异。</w:t>
      </w:r>
    </w:p>
    <w:p>
      <w:r>
        <w:t xml:space="preserve">实现：模式切换只让 </w:t>
      </w:r>
      <w:hyperlink r:id="rId33">
        <w:r>
          <w:rPr>
            <w:color w:val="245080"/>
          </w:rPr>
          <w:t>Gateway.inspect</w:t>
        </w:r>
      </w:hyperlink>
      <w:r>
        <w:t xml:space="preserve"> 的信息流检查是否启用发生既定变化，模型、协议与预算共享。正式确认控制器只批准已经过权限/流检查的 pending，不读取攻击标签或答案，并明确标为模拟确认辅助。</w:t>
      </w:r>
    </w:p>
    <w:p>
      <w:r>
        <w:t>限制：本批真实模型结果尚未证明污点相对纯权限策略的独立安全收益。机制单元测试能证明代码按规则阻断，不等于证明在所有攻击分布上降低风险。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22 历史回放与版本区别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69839" cy="378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historical_repla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9839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图22 明确标识的历史真实记录回放</w:t>
      </w:r>
    </w:p>
    <w:p>
      <w:r>
        <w:t>图中定位：1 真实运行记录回放标识；2 旧版实际预算耗尽状态；3 历史记录只读，另开新对话。</w:t>
      </w:r>
    </w:p>
    <w:p>
      <w:r>
        <w:t>使用目的：复核已有证据而不重新推理。打开历史记录或评测中的代表回放，核对页面“真实运行记录回放”、版本、模式、case_id/run_id 与终态。历史记录只读，不可在旧页面确认或重复执行副作用。</w:t>
      </w:r>
    </w:p>
    <w:p>
      <w:r>
        <w:t>判断结果：历史 v1 有 1,296 条，当前 2.0 有 2,376 条，共 3,672 条正式记录。旧 development_v3 演示可以解释历史过程，但不能替代当前完整策略“阻断后仍安全完成”的缺失证据。</w:t>
      </w:r>
    </w:p>
    <w:p>
      <w:r>
        <w:t>实现：</w:t>
      </w:r>
      <w:hyperlink r:id="rId42">
        <w:r>
          <w:rPr>
            <w:color w:val="245080"/>
          </w:rPr>
          <w:t>web/app.py replays/replay</w:t>
        </w:r>
      </w:hyperlink>
      <w:r>
        <w:t xml:space="preserve"> 限定可访问活动及已保存记录；</w:t>
      </w:r>
      <w:hyperlink r:id="rId48">
        <w:r>
          <w:rPr>
            <w:color w:val="245080"/>
          </w:rPr>
          <w:t>project_record</w:t>
        </w:r>
      </w:hyperlink>
      <w:r>
        <w:t xml:space="preserve"> 安全投影后输出，前端 openReplay 进入只读模式。没有把历史文本伪装成当前 token 流。</w:t>
      </w:r>
    </w:p>
    <w:p>
      <w:r>
        <w:t>限制：历史任务提示、上下文或评判版本可能不同，必须按对应冻结版本解释。源码与轻量包保留所有正式原始记录；当前私有会话数据库与个人上传内容不随公开发布。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23 模型配置、恢复与排错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82537" cy="378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odel_config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2537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图23 当前模型与冻结推理配置</w:t>
      </w:r>
    </w:p>
    <w:p>
      <w:r>
        <w:t>图中定位：1 展开当前模型状态；2 本机接口和固定推理参数；3 重新检查实际连接。</w:t>
      </w:r>
    </w:p>
    <w:p>
      <w:r>
        <w:t>使用目的：确认当前本地模型与运行条件。打开模型/高级配置查看 Qwen3-0.6B、非思考模式及服务状态；Q8_0精度在 model.lock.json 核对，弹窗没有展示该字段；参数来源于 configs/model.json 与 model.lock.json，不是前端猜测。</w:t>
      </w:r>
    </w:p>
    <w:p>
      <w:r>
        <w:t>遇到问题：Python/py 不存在时安装 3.12 Launcher 或检查 PATH；下载失败重跑 prepare 续传；哈希不符不改锁，隔离明确坏文件后重下。CUDA 错误看模型 stderr 与驱动兼容性。端口冲突核对占用者，不结束所有 Python。前端缺失重新下载完整包；开发者才需要 npm ci/build。日志在 results/v2/launcher。</w:t>
      </w:r>
    </w:p>
    <w:p>
      <w:r>
        <w:t>恢复：页面刷新和 SSE 重连使用 session_id/run_id/序号，不重新执行通知。停止后已发生副作用如实保留；关闭项目等待自有进程退出，再双击启动。浏览器清除身份后不会恢复他人的会话。扫描 PDF、长文本截断、模型不调用工具、保守敏感度扩散都是可见限制。</w:t>
      </w:r>
    </w:p>
    <w:p>
      <w:r>
        <w:t>实现：</w:t>
      </w:r>
      <w:hyperlink r:id="rId61">
        <w:r>
          <w:rPr>
            <w:color w:val="245080"/>
          </w:rPr>
          <w:t>LocalModel</w:t>
        </w:r>
      </w:hyperlink>
      <w:r>
        <w:t xml:space="preserve"> 仅访问本机；</w:t>
      </w:r>
      <w:hyperlink r:id="rId42">
        <w:r>
          <w:rPr>
            <w:color w:val="245080"/>
          </w:rPr>
          <w:t>Boundary</w:t>
        </w:r>
      </w:hyperlink>
      <w:r>
        <w:t xml:space="preserve"> 检查 Host/Origin、会话与请求约束；安全渲染不执行 HTML/JS、外部图片或链接预览。日常使用不需要云账号、API key、npm 服务或公共网络监听。</w:t>
      </w:r>
    </w:p>
    <w:p>
      <w:pPr>
        <w:sectPr>
          <w:pgSz w:w="11906" w:h="16838"/>
          <w:pgMar w:top="709" w:right="879" w:bottom="680" w:left="879" w:header="312" w:footer="312" w:gutter="0"/>
          <w:cols w:space="720"/>
          <w:docGrid w:linePitch="360"/>
        </w:sectPr>
      </w:pPr>
    </w:p>
    <w:p>
      <w:pPr>
        <w:pStyle w:val="Heading1"/>
      </w:pPr>
      <w:r>
        <w:t>24 复现资料、许可与验收口径</w:t>
      </w:r>
    </w:p>
    <w:p>
      <w:r>
        <w:t xml:space="preserve">本手册图像原图、裁剪和矩形/箭头/编号配置在 </w:t>
      </w:r>
      <w:hyperlink r:id="rId15">
        <w:r>
          <w:rPr>
            <w:color w:val="245080"/>
          </w:rPr>
          <w:t>docs/assets/user-manual</w:t>
        </w:r>
      </w:hyperlink>
      <w:r>
        <w:t xml:space="preserve">。每张图的时间、视口、版本、页面、场景以及适用 case/run 在 capture_manifest 与 annotation 配置中记录；用于当前截图的干净模拟会话与正式实验分开，未增加正式分母。DOCX/PDF采用纵向说明页与横向大图页，便于阅读宽界面。正文相对链接与页面检查见 </w:t>
      </w:r>
      <w:hyperlink r:id="rId62">
        <w:r>
          <w:rPr>
            <w:color w:val="245080"/>
          </w:rPr>
          <w:t>手册 QA</w:t>
        </w:r>
      </w:hyperlink>
      <w:r>
        <w:t>。</w:t>
      </w:r>
    </w:p>
    <w:p>
      <w:r>
        <w:t xml:space="preserve">可编辑文档由 </w:t>
      </w:r>
      <w:hyperlink r:id="rId63">
        <w:r>
          <w:rPr>
            <w:color w:val="245080"/>
          </w:rPr>
          <w:t>build_user_manual.py</w:t>
        </w:r>
      </w:hyperlink>
      <w:r>
        <w:t xml:space="preserve"> 从本 Markdown 生成，DOCX 经真实渲染得到 PDF；原图不经生成式补画。标注代码只添加程序化图形。原 240 秒视频保存在 </w:t>
      </w:r>
      <w:hyperlink r:id="rId64">
        <w:r>
          <w:rPr>
            <w:color w:val="245080"/>
          </w:rPr>
          <w:t>v2.0.0 Release</w:t>
        </w:r>
      </w:hyperlink>
      <w:r>
        <w:t>。v2.0.1 改为六章节 Demo，当前操作证据见</w:t>
      </w:r>
      <w:hyperlink r:id="rId17">
        <w:r>
          <w:rPr>
            <w:color w:val="245080"/>
          </w:rPr>
          <w:t>核心功能手册</w:t>
        </w:r>
      </w:hyperlink>
      <w:r>
        <w:t>，演示稿、字幕及实际时长见</w:t>
      </w:r>
      <w:hyperlink r:id="rId65">
        <w:r>
          <w:rPr>
            <w:color w:val="245080"/>
          </w:rPr>
          <w:t>当前制作说明</w:t>
        </w:r>
      </w:hyperlink>
      <w:r>
        <w:t>；旧截图不代表新视频重新执行了同一任务。</w:t>
      </w:r>
    </w:p>
    <w:p>
      <w:r>
        <w:t>前端交互 → 同源 API → 服务端 TaskGrant/会话 → 本地模型动作提议 → 来源登记 → 统一网关 → 模拟工具或获准回复 → 独立评测 → 安全投影/SSE。该顺序是程序控制流程示意，不是模型内部推理链。前端不取得完整 checkpoint、确认凭据库或未授权秘密正文。</w:t>
      </w:r>
    </w:p>
    <w:p>
      <w:r/>
      <w:hyperlink r:id="rId66">
        <w:r>
          <w:rPr>
            <w:color w:val="245080"/>
          </w:rPr>
          <w:t>公开来源与许可</w:t>
        </w:r>
      </w:hyperlink>
      <w:r>
        <w:t>、</w:t>
      </w:r>
      <w:hyperlink r:id="rId67">
        <w:r>
          <w:rPr>
            <w:color w:val="245080"/>
          </w:rPr>
          <w:t>公开白名单</w:t>
        </w:r>
      </w:hyperlink>
      <w:r>
        <w:t xml:space="preserve"> 和 </w:t>
      </w:r>
      <w:hyperlink r:id="rId23">
        <w:r>
          <w:rPr>
            <w:color w:val="245080"/>
          </w:rPr>
          <w:t>本轮远程下载验收</w:t>
        </w:r>
      </w:hyperlink>
      <w:r>
        <w:t xml:space="preserve"> 共同界定复现范围。项目自有许可证尚待作者选定，Public 不自动等于 MIT。成员姓名、学号、实际分工和人工工时待补充；AI 或工具运行时长不冒充人工工时。</w:t>
      </w:r>
    </w:p>
    <w:sectPr w:rsidR="00FC693F" w:rsidRPr="0006063C" w:rsidSect="00034616">
      <w:pgSz w:w="11906" w:h="16838"/>
      <w:pgMar w:top="709" w:right="879" w:bottom="680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本地模拟教学与研究  ·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TaintLab  |  操作与实现手册  |  2.0 · v2.0.0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uola/taintlab/blob/v2.0.1/dist/project_report.pdf" TargetMode="External"/><Relationship Id="rId12" Type="http://schemas.openxmlformats.org/officeDocument/2006/relationships/hyperlink" Target="https://github.com/aluola/taintlab/blob/v2.0.1/README.md" TargetMode="External"/><Relationship Id="rId13" Type="http://schemas.openxmlformats.org/officeDocument/2006/relationships/hyperlink" Target="https://github.com/aluola/taintlab/blob/v2.0.1/docs/USER_MANUAL.pdf" TargetMode="External"/><Relationship Id="rId14" Type="http://schemas.openxmlformats.org/officeDocument/2006/relationships/hyperlink" Target="https://github.com/aluola/taintlab/blob/v2.0.1/docs/USER_MANUAL.docx" TargetMode="External"/><Relationship Id="rId15" Type="http://schemas.openxmlformats.org/officeDocument/2006/relationships/hyperlink" Target="https://github.com/aluola/taintlab/blob/v2.0.1/docs/assets/user-manual/" TargetMode="External"/><Relationship Id="rId16" Type="http://schemas.openxmlformats.org/officeDocument/2006/relationships/hyperlink" Target="https://github.com/aluola/taintlab/blob/v2.0.1/docs/v2/API_CONTRACT.md" TargetMode="External"/><Relationship Id="rId17" Type="http://schemas.openxmlformats.org/officeDocument/2006/relationships/hyperlink" Target="https://github.com/aluola/taintlab/blob/v2.0.1/docs/CORE_FEATURES_GUIDE.md" TargetMode="External"/><Relationship Id="rId18" Type="http://schemas.openxmlformats.org/officeDocument/2006/relationships/hyperlink" Target="https://github.com/aluola/taintlab/blob/v2.0.1/docs/DEVELOPMENT_AND_DELIVERY.md" TargetMode="External"/><Relationship Id="rId19" Type="http://schemas.openxmlformats.org/officeDocument/2006/relationships/hyperlink" Target="https://github.com/aluola/taintlab/blob/v2.0.1/docs/FEATURE_EVIDENCE_MATRIX.md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github.com/aluola/taintlab/blob/v2.0.1/scripts/install.ps1" TargetMode="External"/><Relationship Id="rId22" Type="http://schemas.openxmlformats.org/officeDocument/2006/relationships/hyperlink" Target="https://github.com/aluola/taintlab/blob/v2.0.1/scripts/project_lifecycle.py" TargetMode="External"/><Relationship Id="rId23" Type="http://schemas.openxmlformats.org/officeDocument/2006/relationships/hyperlink" Target="https://github.com/aluola/taintlab/blob/v2.0.1/docs/publication/README.md" TargetMode="External"/><Relationship Id="rId24" Type="http://schemas.openxmlformats.org/officeDocument/2006/relationships/image" Target="media/image2.png"/><Relationship Id="rId25" Type="http://schemas.openxmlformats.org/officeDocument/2006/relationships/hyperlink" Target="https://github.com/aluola/taintlab/blob/v2.0.1/frontend/src/App.tsx" TargetMode="External"/><Relationship Id="rId26" Type="http://schemas.openxmlformats.org/officeDocument/2006/relationships/hyperlink" Target="https://github.com/aluola/taintlab/blob/v2.0.1/frontend/src/api.ts" TargetMode="External"/><Relationship Id="rId27" Type="http://schemas.openxmlformats.org/officeDocument/2006/relationships/hyperlink" Target="https://github.com/aluola/taintlab/blob/v2.0.1/src/taintlab/web/service.py" TargetMode="External"/><Relationship Id="rId28" Type="http://schemas.openxmlformats.org/officeDocument/2006/relationships/image" Target="media/image3.png"/><Relationship Id="rId29" Type="http://schemas.openxmlformats.org/officeDocument/2006/relationships/hyperlink" Target="https://github.com/aluola/taintlab/blob/v2.0.1/src/taintlab/web/catalog.py" TargetMode="External"/><Relationship Id="rId30" Type="http://schemas.openxmlformats.org/officeDocument/2006/relationships/hyperlink" Target="https://github.com/aluola/taintlab/blob/v2.0.1/src/taintlab/policy/grants.py" TargetMode="External"/><Relationship Id="rId31" Type="http://schemas.openxmlformats.org/officeDocument/2006/relationships/image" Target="media/image4.png"/><Relationship Id="rId32" Type="http://schemas.openxmlformats.org/officeDocument/2006/relationships/hyperlink" Target="https://github.com/aluola/taintlab/blob/v2.0.1/src/taintlab/agent/runtime.py" TargetMode="External"/><Relationship Id="rId33" Type="http://schemas.openxmlformats.org/officeDocument/2006/relationships/hyperlink" Target="https://github.com/aluola/taintlab/blob/v2.0.1/src/taintlab/policy/gateway.py" TargetMode="External"/><Relationship Id="rId34" Type="http://schemas.openxmlformats.org/officeDocument/2006/relationships/hyperlink" Target="https://github.com/aluola/taintlab/blob/v2.0.1/src/taintlab/tools/world.py" TargetMode="External"/><Relationship Id="rId35" Type="http://schemas.openxmlformats.org/officeDocument/2006/relationships/image" Target="media/image5.png"/><Relationship Id="rId36" Type="http://schemas.openxmlformats.org/officeDocument/2006/relationships/hyperlink" Target="https://github.com/aluola/taintlab/blob/v2.0.1/src/taintlab/provenance/registry.py" TargetMode="External"/><Relationship Id="rId37" Type="http://schemas.openxmlformats.org/officeDocument/2006/relationships/image" Target="media/image6.png"/><Relationship Id="rId38" Type="http://schemas.openxmlformats.org/officeDocument/2006/relationships/image" Target="media/image7.png"/><Relationship Id="rId39" Type="http://schemas.openxmlformats.org/officeDocument/2006/relationships/image" Target="media/image8.png"/><Relationship Id="rId40" Type="http://schemas.openxmlformats.org/officeDocument/2006/relationships/image" Target="media/image9.png"/><Relationship Id="rId41" Type="http://schemas.openxmlformats.org/officeDocument/2006/relationships/image" Target="media/image10.png"/><Relationship Id="rId42" Type="http://schemas.openxmlformats.org/officeDocument/2006/relationships/hyperlink" Target="https://github.com/aluola/taintlab/blob/v2.0.1/src/taintlab/web/app.py" TargetMode="External"/><Relationship Id="rId43" Type="http://schemas.openxmlformats.org/officeDocument/2006/relationships/image" Target="media/image11.png"/><Relationship Id="rId44" Type="http://schemas.openxmlformats.org/officeDocument/2006/relationships/hyperlink" Target="https://github.com/aluola/taintlab/blob/v2.0.1/src/taintlab/web/uploads.py" TargetMode="External"/><Relationship Id="rId45" Type="http://schemas.openxmlformats.org/officeDocument/2006/relationships/image" Target="media/image12.png"/><Relationship Id="rId46" Type="http://schemas.openxmlformats.org/officeDocument/2006/relationships/image" Target="media/image13.png"/><Relationship Id="rId47" Type="http://schemas.openxmlformats.org/officeDocument/2006/relationships/image" Target="media/image14.png"/><Relationship Id="rId48" Type="http://schemas.openxmlformats.org/officeDocument/2006/relationships/hyperlink" Target="https://github.com/aluola/taintlab/blob/v2.0.1/src/taintlab/web/projection.py" TargetMode="External"/><Relationship Id="rId49" Type="http://schemas.openxmlformats.org/officeDocument/2006/relationships/image" Target="media/image15.png"/><Relationship Id="rId50" Type="http://schemas.openxmlformats.org/officeDocument/2006/relationships/hyperlink" Target="https://github.com/aluola/taintlab/blob/v2.0.1/src/taintlab/evaluation/canary.py" TargetMode="External"/><Relationship Id="rId51" Type="http://schemas.openxmlformats.org/officeDocument/2006/relationships/image" Target="media/image16.png"/><Relationship Id="rId52" Type="http://schemas.openxmlformats.org/officeDocument/2006/relationships/hyperlink" Target="https://github.com/aluola/taintlab/blob/v2.0.1/src/taintlab/attacks/interactive.py" TargetMode="External"/><Relationship Id="rId53" Type="http://schemas.openxmlformats.org/officeDocument/2006/relationships/image" Target="media/image17.png"/><Relationship Id="rId54" Type="http://schemas.openxmlformats.org/officeDocument/2006/relationships/image" Target="media/image18.png"/><Relationship Id="rId55" Type="http://schemas.openxmlformats.org/officeDocument/2006/relationships/image" Target="media/image19.png"/><Relationship Id="rId56" Type="http://schemas.openxmlformats.org/officeDocument/2006/relationships/image" Target="media/image20.png"/><Relationship Id="rId57" Type="http://schemas.openxmlformats.org/officeDocument/2006/relationships/hyperlink" Target="https://github.com/aluola/taintlab/blob/v2.0.1/src/taintlab/evaluation/" TargetMode="External"/><Relationship Id="rId58" Type="http://schemas.openxmlformats.org/officeDocument/2006/relationships/image" Target="media/image21.png"/><Relationship Id="rId59" Type="http://schemas.openxmlformats.org/officeDocument/2006/relationships/image" Target="media/image22.png"/><Relationship Id="rId60" Type="http://schemas.openxmlformats.org/officeDocument/2006/relationships/image" Target="media/image23.png"/><Relationship Id="rId61" Type="http://schemas.openxmlformats.org/officeDocument/2006/relationships/hyperlink" Target="https://github.com/aluola/taintlab/blob/v2.0.1/src/taintlab/model/" TargetMode="External"/><Relationship Id="rId62" Type="http://schemas.openxmlformats.org/officeDocument/2006/relationships/hyperlink" Target="https://github.com/aluola/taintlab/blob/v2.0.1/docs/publication/manual_qa/" TargetMode="External"/><Relationship Id="rId63" Type="http://schemas.openxmlformats.org/officeDocument/2006/relationships/hyperlink" Target="https://github.com/aluola/taintlab/blob/v2.0.1/scripts/build_user_manual.py" TargetMode="External"/><Relationship Id="rId64" Type="http://schemas.openxmlformats.org/officeDocument/2006/relationships/hyperlink" Target="https://github.com/aluola/taintlab/releases/tag/v2.0.0" TargetMode="External"/><Relationship Id="rId65" Type="http://schemas.openxmlformats.org/officeDocument/2006/relationships/hyperlink" Target="https://github.com/aluola/taintlab/blob/v2.0.1/demo/README.md" TargetMode="External"/><Relationship Id="rId66" Type="http://schemas.openxmlformats.org/officeDocument/2006/relationships/hyperlink" Target="https://github.com/aluola/taintlab/blob/v2.0.1/docs/v2/DATA_SOURCES.md" TargetMode="External"/><Relationship Id="rId67" Type="http://schemas.openxmlformats.org/officeDocument/2006/relationships/hyperlink" Target="https://github.com/aluola/taintlab/blob/v2.0.1/docs/publication/PUBLICATION_POLIC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