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Rapid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favors</w:t>
      </w:r>
      <w:r>
        <w:t xml:space="preserve"> </w:t>
      </w:r>
      <w:r>
        <w:t xml:space="preserve">greater</w:t>
      </w:r>
      <w:r>
        <w:t xml:space="preserve"> </w:t>
      </w:r>
      <w:r>
        <w:t xml:space="preserve">avian-perceived</w:t>
      </w:r>
      <w:r>
        <w:t xml:space="preserve"> </w:t>
      </w:r>
      <w:r>
        <w:t xml:space="preserve">plumage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(approximately ~89% of all known true thrush species) were sampled for plumage spectral</w:t>
      </w:r>
      <w:r>
        <w:t xml:space="preserve"> </w:t>
      </w:r>
      <w:r>
        <w:t xml:space="preserve">reflectance using prepared bird skin specimens at the American Museum of Natural History in</w:t>
      </w:r>
      <w:r>
        <w:t xml:space="preserve"> </w:t>
      </w:r>
      <w:r>
        <w:t xml:space="preserve">New York City and the Field Museum in Chicago. Reflectance measurements spanning</w:t>
      </w:r>
      <w:r>
        <w:t xml:space="preserve"> </w:t>
      </w:r>
      <w:r>
        <w:t xml:space="preserve">300-700nm were taken in triplicate from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T.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T.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we used a diffuse 99%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applied a receptor-noise limited visual model</w:t>
      </w:r>
      <w:r>
        <w:t xml:space="preserve"> </w:t>
      </w:r>
      <w:r>
        <w:t xml:space="preserve">[</w:t>
      </w:r>
      <w:hyperlink w:anchor="ref-vorobyev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T. merula</w:t>
      </w:r>
      <w:r>
        <w:t xml:space="preserve">) visual system</w:t>
      </w:r>
      <w:r>
        <w:t xml:space="preserve"> </w:t>
      </w:r>
      <w:r>
        <w:t xml:space="preserve">[</w:t>
      </w:r>
      <w:hyperlink w:anchor="ref-hart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1 JND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1 JND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ref-kemp2015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 each year.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6c896e2b80dd0fca0e8ee32fce3f4251147131f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ref-nylander2008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 out of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the types of data (see above)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probability of having a sexually-dichromatic plumage</w:t>
      </w:r>
      <w:r>
        <w:t xml:space="preserve"> </w:t>
      </w:r>
      <w:r>
        <w:t xml:space="preserve">patch.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probability of having a sexually-dichromatic plumage patch.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p>
      <w:pPr>
        <w:pStyle w:val="BodyText"/>
      </w:pPr>
      <w:r>
        <w:t xml:space="preserve">Models’ predictor effects were assessed using 90% highest-density intervals of the posterior distributions and probability of direction, the proportion of the posterior distribution that shares the same sign (positive or negative) as the posterior median</w:t>
      </w:r>
      <w:r>
        <w:t xml:space="preserve"> </w:t>
      </w:r>
      <w:r>
        <w:t xml:space="preserve">[</w:t>
      </w:r>
      <w:hyperlink w:anchor="ref-makowski2019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, to provide estimates of the probability of that a predictor has an entirely positive or negative effect on the presence of sexually-dimorphic plumage patches.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 (Supplementary Figure).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similarly well and substantially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 in predicting the probability of having a sexually dimorphic plumage patch with achromatic JND values &gt; 1, 2, or 3 (Table 1; all models predicting achromatic plumage patches had ELPD values within 4, following the convention of Burnham and Anderson (2002)</w:t>
      </w:r>
      <w:r>
        <w:t xml:space="preserve">[</w:t>
      </w:r>
      <w:hyperlink w:anchor="ref-burnham2002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). Among models predicting the probability of having a sexually-dichromatic plumage patch with chromatic JND values &gt;1, 2, or 3, all models performed much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models, and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had the best predictive performance (Table 1;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all have ELPD =0, only the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predicting dichromatic plumage patches with had similar predictive performance).</w:t>
      </w:r>
    </w:p>
    <w:p>
      <w:pPr>
        <w:pStyle w:val="BodyText"/>
      </w:pPr>
      <w:r>
        <w:t xml:space="preserve">All model predictors’ effect estimates are provided as the posterior median log-odds and 90% highest-density interval in Table 2. Among predictors of achromatically sexually-dimorphic plumage patches, only predictors included in the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 have predictors with probability of direction (</w:t>
      </w:r>
      <w:r>
        <w:rPr>
          <w:iCs/>
          <w:i/>
        </w:rPr>
        <w:t xml:space="preserve">pd</w:t>
      </w:r>
      <w:r>
        <w:t xml:space="preserve">) values &gt; 0.9 (Table 2). Specifically, greater breeding season length is associated with lower odds of a species having a sexually-dimorphic plumage patch with achromatic JND &gt; 2 and lower odds of having a plumage patch with achromatic JND &gt; 3. Additionally, full migratory behavior, rather than no migratory behavior, is associated with greater odds of a species having a sexually-dimorphic plumage patch with achromatic JND &gt; 1, JND &gt; 2 and JND &gt; 3. Finally, both partial and full migratory behavior, rather than no migration behavior, in conjunction with longer breeding season lengths are associated with greater odds of a species having a sexually-dimorphic plumage patch with achromatic JND &gt; 1 (breeding season length x full migration), JND &gt; 2 (breeding season length x both full and partial migration) and JND &gt; 3 (breeding season length x partial migration).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5" w:name="references"/>
    <w:p>
      <w:pPr>
        <w:pStyle w:val="Heading1"/>
      </w:pPr>
      <w:r>
        <w:t xml:space="preserve">References</w:t>
      </w:r>
    </w:p>
    <w:bookmarkStart w:id="64" w:name="refs"/>
    <w:bookmarkStart w:id="34" w:name="ref-andersson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ref-rcoreteam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ref-kemp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6c896e2b80dd0fca0e8ee32fce3f4251147131f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ref-nylander2008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Start w:id="62" w:name="ref-makowski2019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Makowski D, Ben-Shachar MS, Chen SHA, Lüdecke D. 2019 Indices of</w:t>
      </w:r>
      <w:r>
        <w:t xml:space="preserve"> </w:t>
      </w:r>
      <w:r>
        <w:t xml:space="preserve">Effect Existence</w:t>
      </w:r>
      <w:r>
        <w:t xml:space="preserve"> </w:t>
      </w:r>
      <w:r>
        <w:t xml:space="preserve">and</w:t>
      </w:r>
      <w:r>
        <w:t xml:space="preserve"> </w:t>
      </w:r>
      <w:r>
        <w:t xml:space="preserve">Significance</w:t>
      </w:r>
      <w:r>
        <w:t xml:space="preserve"> </w:t>
      </w:r>
      <w:r>
        <w:t xml:space="preserve">in the</w:t>
      </w:r>
      <w:r>
        <w:t xml:space="preserve"> </w:t>
      </w:r>
      <w:r>
        <w:t xml:space="preserve">Bayesian Framework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rPr>
          <w:bCs/>
          <w:b/>
        </w:rPr>
        <w:t xml:space="preserve">10</w:t>
      </w:r>
      <w:r>
        <w:t xml:space="preserve">. (doi:</w:t>
      </w:r>
      <w:hyperlink r:id="rId61">
        <w:r>
          <w:rPr>
            <w:rStyle w:val="Hyperlink"/>
          </w:rPr>
          <w:t xml:space="preserve">10.3389/fpsyg.2019.02767</w:t>
        </w:r>
      </w:hyperlink>
      <w:r>
        <w:t xml:space="preserve">)</w:t>
      </w:r>
    </w:p>
    <w:bookmarkEnd w:id="62"/>
    <w:bookmarkStart w:id="63" w:name="ref-burnham2002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Burnham KP, Anderson DR. 2002</w:t>
      </w:r>
      <w:r>
        <w:t xml:space="preserve"> </w:t>
      </w:r>
      <w:r>
        <w:rPr>
          <w:iCs/>
          <w:i/>
        </w:rPr>
        <w:t xml:space="preserve">Model selection and multimodel inference: A practical information-theoretic approach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Relationship Type="http://schemas.openxmlformats.org/officeDocument/2006/relationships/hyperlink" Id="rId61" Target="https://doi.org/10.3389/fpsyg.2019.0276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Relationship Type="http://schemas.openxmlformats.org/officeDocument/2006/relationships/hyperlink" Id="rId61" Target="https://doi.org/10.3389/fpsyg.2019.027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species recognition favors greater avian-perceived plumage dichromatism in true thrushes (genus: Turdus)</dc:title>
  <dc:creator>Alec B. Luro1*, Mark E. Hauber1</dc:creator>
  <cp:keywords/>
  <dcterms:created xsi:type="dcterms:W3CDTF">2021-05-25T20:12:43Z</dcterms:created>
  <dcterms:modified xsi:type="dcterms:W3CDTF">2021-05-25T20:12:43Z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