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Rapid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favors</w:t>
      </w:r>
      <w:r>
        <w:t xml:space="preserve"> </w:t>
      </w:r>
      <w:r>
        <w:t xml:space="preserve">greater</w:t>
      </w:r>
      <w:r>
        <w:t xml:space="preserve"> </w:t>
      </w:r>
      <w:r>
        <w:t xml:space="preserve">avian-perceived</w:t>
      </w:r>
      <w:r>
        <w:t xml:space="preserve"> </w:t>
      </w:r>
      <w:r>
        <w:t xml:space="preserve">plumage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Species recognition is necessary in sexually reproducing lineages for</w:t>
      </w:r>
      <w:r>
        <w:t xml:space="preserve"> </w:t>
      </w:r>
      <w:r>
        <w:t xml:space="preserve">individuals to find compatible conspecific mates and produce viable offspring</w:t>
      </w:r>
      <w:r>
        <w:t xml:space="preserve"> </w:t>
      </w:r>
      <w:r>
        <w:t xml:space="preserve">[</w:t>
      </w:r>
      <w:hyperlink w:anchor="ref-andersson1994">
        <w:r>
          <w:rPr>
            <w:rStyle w:val="Hyperlink"/>
          </w:rPr>
          <w:t xml:space="preserve">1</w:t>
        </w:r>
      </w:hyperlink>
      <w:r>
        <w:t xml:space="preserve">,</w:t>
      </w:r>
      <w:hyperlink w:anchor="ref-groning200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 Specifically, conspicuous traits signaling</w:t>
      </w:r>
      <w:r>
        <w:t xml:space="preserve"> </w:t>
      </w:r>
      <w:r>
        <w:t xml:space="preserve">species and sex identity reduce the time and effort expended when searching</w:t>
      </w:r>
      <w:r>
        <w:t xml:space="preserve"> </w:t>
      </w:r>
      <w:r>
        <w:t xml:space="preserve">for compatible mates and lessen the likelihood of mating with heterospecifics</w:t>
      </w:r>
      <w:r>
        <w:t xml:space="preserve"> </w:t>
      </w:r>
      <w:r>
        <w:t xml:space="preserve">[</w:t>
      </w:r>
      <w:hyperlink w:anchor="ref-groning200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 Accordingly, traits which facilitate species and mate</w:t>
      </w:r>
      <w:r>
        <w:t xml:space="preserve"> </w:t>
      </w:r>
      <w:r>
        <w:t xml:space="preserve">recognition should be favored when congeneric species are highly sympatric,</w:t>
      </w:r>
      <w:r>
        <w:t xml:space="preserve"> </w:t>
      </w:r>
      <w:r>
        <w:t xml:space="preserve">when the time to find a mate is limited, and when conspecifics are not</w:t>
      </w:r>
      <w:r>
        <w:t xml:space="preserve"> </w:t>
      </w:r>
      <w:r>
        <w:t xml:space="preserve">encountered often</w:t>
      </w:r>
      <w:r>
        <w:t xml:space="preserve"> </w:t>
      </w:r>
      <w:r>
        <w:t xml:space="preserve">[</w:t>
      </w:r>
      <w:hyperlink w:anchor="ref-andersson1994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Alternatively, traits used in species and</w:t>
      </w:r>
      <w:r>
        <w:t xml:space="preserve"> </w:t>
      </w:r>
      <w:r>
        <w:t xml:space="preserve">mate recognition may also serve as signals of status to conspecifics and</w:t>
      </w:r>
      <w:r>
        <w:t xml:space="preserve"> </w:t>
      </w:r>
      <w:r>
        <w:t xml:space="preserve">reduce costly conflicts over resources and mates</w:t>
      </w:r>
      <w:r>
        <w:t xml:space="preserve"> </w:t>
      </w:r>
      <w:r>
        <w:t xml:space="preserve">[</w:t>
      </w:r>
      <w:hyperlink w:anchor="ref-west-eberhard1983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birds, plumage colouration is a highly conspicuous trait which signals</w:t>
      </w:r>
      <w:r>
        <w:t xml:space="preserve"> </w:t>
      </w:r>
      <w:r>
        <w:t xml:space="preserve">species</w:t>
      </w:r>
      <w:r>
        <w:t xml:space="preserve"> </w:t>
      </w:r>
      <w:r>
        <w:t xml:space="preserve">[</w:t>
      </w:r>
      <w:hyperlink w:anchor="ref-martin2015a">
        <w:r>
          <w:rPr>
            <w:rStyle w:val="Hyperlink"/>
          </w:rPr>
          <w:t xml:space="preserve">4</w:t>
        </w:r>
      </w:hyperlink>
      <w:r>
        <w:t xml:space="preserve">,</w:t>
      </w:r>
      <w:hyperlink w:anchor="ref-bitton2016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and (often) sex identity.</w:t>
      </w:r>
    </w:p>
    <w:p>
      <w:pPr>
        <w:pStyle w:val="BodyText"/>
      </w:pPr>
      <w:r>
        <w:t xml:space="preserve">Plumage sexual dichromatism, a distinct set of differences in the appearance</w:t>
      </w:r>
      <w:r>
        <w:t xml:space="preserve"> </w:t>
      </w:r>
      <w:r>
        <w:t xml:space="preserve">of male versus female feather colouration, is common in birds and is often</w:t>
      </w:r>
      <w:r>
        <w:t xml:space="preserve"> </w:t>
      </w:r>
      <w:r>
        <w:t xml:space="preserve">attributed to differing selection pressures on males and females</w:t>
      </w:r>
      <w:r>
        <w:t xml:space="preserve"> </w:t>
      </w:r>
      <w:r>
        <w:t xml:space="preserve">[</w:t>
      </w:r>
      <w:hyperlink w:anchor="ref-martin1996">
        <w:r>
          <w:rPr>
            <w:rStyle w:val="Hyperlink"/>
          </w:rPr>
          <w:t xml:space="preserve">6</w:t>
        </w:r>
      </w:hyperlink>
      <w:r>
        <w:t xml:space="preserve">–</w:t>
      </w:r>
      <w:hyperlink w:anchor="ref-dunn2015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. Fundamentally,</w:t>
      </w:r>
      <w:r>
        <w:t xml:space="preserve"> </w:t>
      </w:r>
      <w:r>
        <w:t xml:space="preserve">plumage sexual dichromatism results in a visible trait useful for recognizing</w:t>
      </w:r>
      <w:r>
        <w:t xml:space="preserve"> </w:t>
      </w:r>
      <w:r>
        <w:t xml:space="preserve">an individual’s species, sex, and age (e.g., in species with delayed plumage</w:t>
      </w:r>
      <w:r>
        <w:t xml:space="preserve"> </w:t>
      </w:r>
      <w:r>
        <w:t xml:space="preserve">maturation, see</w:t>
      </w:r>
      <w:r>
        <w:t xml:space="preserve"> </w:t>
      </w:r>
      <w:r>
        <w:t xml:space="preserve">[</w:t>
      </w:r>
      <w:hyperlink w:anchor="ref-hawkins2012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), reducing the time and effort necessary to</w:t>
      </w:r>
      <w:r>
        <w:t xml:space="preserve"> </w:t>
      </w:r>
      <w:r>
        <w:t xml:space="preserve">find a suitable mate. Bird species that migrate to and from their breeding</w:t>
      </w:r>
      <w:r>
        <w:t xml:space="preserve"> </w:t>
      </w:r>
      <w:r>
        <w:t xml:space="preserve">territories and have large geographic ranges tend to have greater plumage</w:t>
      </w:r>
      <w:r>
        <w:t xml:space="preserve"> </w:t>
      </w:r>
      <w:r>
        <w:t xml:space="preserve">sexual dichromatism than species that do not migrate and have limited ranges</w:t>
      </w:r>
      <w:r>
        <w:t xml:space="preserve"> </w:t>
      </w:r>
      <w:r>
        <w:t xml:space="preserve">[</w:t>
      </w:r>
      <w:hyperlink w:anchor="ref-badyaev2003">
        <w:r>
          <w:rPr>
            <w:rStyle w:val="Hyperlink"/>
          </w:rPr>
          <w:t xml:space="preserve">8</w:t>
        </w:r>
      </w:hyperlink>
      <w:r>
        <w:t xml:space="preserve">,</w:t>
      </w:r>
      <w:hyperlink w:anchor="ref-dale2015">
        <w:r>
          <w:rPr>
            <w:rStyle w:val="Hyperlink"/>
          </w:rPr>
          <w:t xml:space="preserve">9</w:t>
        </w:r>
      </w:hyperlink>
      <w:r>
        <w:t xml:space="preserve">,</w:t>
      </w:r>
      <w:hyperlink w:anchor="ref-friedman2009">
        <w:r>
          <w:rPr>
            <w:rStyle w:val="Hyperlink"/>
          </w:rPr>
          <w:t xml:space="preserve">12</w:t>
        </w:r>
      </w:hyperlink>
      <w:r>
        <w:t xml:space="preserve">–</w:t>
      </w:r>
      <w:hyperlink w:anchor="ref-matysiokova2017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Further, plumage sexual dichromatism likely plays a role in hybridization</w:t>
      </w:r>
      <w:r>
        <w:t xml:space="preserve"> </w:t>
      </w:r>
      <w:r>
        <w:t xml:space="preserve">avoidance via character displacement for species and mate recognition</w:t>
      </w:r>
      <w:r>
        <w:t xml:space="preserve"> </w:t>
      </w:r>
      <w:r>
        <w:t xml:space="preserve">[</w:t>
      </w:r>
      <w:hyperlink w:anchor="ref-seddo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For example, in European</w:t>
      </w:r>
      <w:r>
        <w:t xml:space="preserve"> </w:t>
      </w:r>
      <w:r>
        <w:rPr>
          <w:iCs/>
          <w:i/>
        </w:rPr>
        <w:t xml:space="preserve">Ficedula</w:t>
      </w:r>
      <w:r>
        <w:t xml:space="preserve"> </w:t>
      </w:r>
      <w:r>
        <w:t xml:space="preserve">flycatchers, female choice</w:t>
      </w:r>
      <w:r>
        <w:t xml:space="preserve"> </w:t>
      </w:r>
      <w:r>
        <w:t xml:space="preserve">selects for divergent male plumage colouration, leading to character</w:t>
      </w:r>
      <w:r>
        <w:t xml:space="preserve"> </w:t>
      </w:r>
      <w:r>
        <w:t xml:space="preserve">displacement between species and populations and reduced rates of</w:t>
      </w:r>
      <w:r>
        <w:t xml:space="preserve"> </w:t>
      </w:r>
      <w:r>
        <w:t xml:space="preserve">hybridization</w:t>
      </w:r>
      <w:r>
        <w:t xml:space="preserve"> </w:t>
      </w:r>
      <w:r>
        <w:t xml:space="preserve">[</w:t>
      </w:r>
      <w:hyperlink w:anchor="ref-stre199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 More broadly and across taxa, greater plumage</w:t>
      </w:r>
      <w:r>
        <w:t xml:space="preserve"> </w:t>
      </w:r>
      <w:r>
        <w:t xml:space="preserve">dichromatism is positively correlated with transitions from allopatry to</w:t>
      </w:r>
      <w:r>
        <w:t xml:space="preserve"> </w:t>
      </w:r>
      <w:r>
        <w:t xml:space="preserve">parapatry and an increase in geographic range overlap among a large sample of</w:t>
      </w:r>
      <w:r>
        <w:t xml:space="preserve"> </w:t>
      </w:r>
      <w:r>
        <w:t xml:space="preserve">passerine sister species pairs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In addition, plumage sexual</w:t>
      </w:r>
      <w:r>
        <w:t xml:space="preserve"> </w:t>
      </w:r>
      <w:r>
        <w:t xml:space="preserve">dichromatism has been found to be positively associated with species richness</w:t>
      </w:r>
      <w:r>
        <w:t xml:space="preserve"> </w:t>
      </w:r>
      <w:r>
        <w:t xml:space="preserve">among sister species pairs, and dichromatism is increased mainly by changes</w:t>
      </w:r>
      <w:r>
        <w:t xml:space="preserve"> </w:t>
      </w:r>
      <w:r>
        <w:t xml:space="preserve">in male plumage</w:t>
      </w:r>
      <w:r>
        <w:t xml:space="preserve"> </w:t>
      </w:r>
      <w:r>
        <w:t xml:space="preserve">[</w:t>
      </w:r>
      <w:hyperlink w:anchor="ref-seddo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, suggesting that female choice and male-male</w:t>
      </w:r>
      <w:r>
        <w:t xml:space="preserve"> </w:t>
      </w:r>
      <w:r>
        <w:t xml:space="preserve">competition lead to concurrent changes in male plumage and speciation events.</w:t>
      </w:r>
      <w:r>
        <w:t xml:space="preserve"> </w:t>
      </w:r>
      <w:r>
        <w:t xml:space="preserve">Further, plumage sexual dichromatism is positively associated with greater</w:t>
      </w:r>
      <w:r>
        <w:t xml:space="preserve"> </w:t>
      </w:r>
      <w:r>
        <w:t xml:space="preserve">interspecific plumage colour evolution rate and divergence in</w:t>
      </w:r>
      <w:r>
        <w:t xml:space="preserve"> </w:t>
      </w:r>
      <w:r>
        <w:rPr>
          <w:iCs/>
          <w:i/>
        </w:rPr>
        <w:t xml:space="preserve">Tyrannida</w:t>
      </w:r>
      <w:r>
        <w:t xml:space="preserve"> </w:t>
      </w:r>
      <w:r>
        <w:t xml:space="preserve">suboscines</w:t>
      </w:r>
      <w:r>
        <w:t xml:space="preserve"> </w:t>
      </w:r>
      <w:r>
        <w:t xml:space="preserve">[</w:t>
      </w:r>
      <w:hyperlink w:anchor="ref-cooney2019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. Therefore, plumage sexual dichromatism may be an</w:t>
      </w:r>
      <w:r>
        <w:t xml:space="preserve"> </w:t>
      </w:r>
      <w:r>
        <w:t xml:space="preserve">especially favourable trait to facilitate species and mate recognition when</w:t>
      </w:r>
      <w:r>
        <w:t xml:space="preserve"> </w:t>
      </w:r>
      <w:r>
        <w:t xml:space="preserve">closely-related species have overlapping breeding ranges.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(approximately ~89% of all known true thrush species) were sampled for plumage spectral</w:t>
      </w:r>
      <w:r>
        <w:t xml:space="preserve"> </w:t>
      </w:r>
      <w:r>
        <w:t xml:space="preserve">reflectance using prepared bird skin specimens at the American Museum of Natural History in</w:t>
      </w:r>
      <w:r>
        <w:t xml:space="preserve"> </w:t>
      </w:r>
      <w:r>
        <w:t xml:space="preserve">New York City and the Field Museum in Chicago. Reflectance measurements spanning</w:t>
      </w:r>
      <w:r>
        <w:t xml:space="preserve"> </w:t>
      </w:r>
      <w:r>
        <w:t xml:space="preserve">300-700nm were taken in triplicate from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2006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of each individual.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T.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T.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we used a diffuse 99%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applied a receptor-noise limited visual model</w:t>
      </w:r>
      <w:r>
        <w:t xml:space="preserve"> </w:t>
      </w:r>
      <w:r>
        <w:t xml:space="preserve">[</w:t>
      </w:r>
      <w:hyperlink w:anchor="ref-vorobyev1998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T. merula</w:t>
      </w:r>
      <w:r>
        <w:t xml:space="preserve">) visual system</w:t>
      </w:r>
      <w:r>
        <w:t xml:space="preserve"> </w:t>
      </w:r>
      <w:r>
        <w:t xml:space="preserve">[</w:t>
      </w:r>
      <w:hyperlink w:anchor="ref-hart2000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2019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1 JND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1993">
        <w:r>
          <w:rPr>
            <w:rStyle w:val="Hyperlink"/>
          </w:rPr>
          <w:t xml:space="preserve">24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1 JND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ref-kemp2015">
        <w:r>
          <w:rPr>
            <w:rStyle w:val="Hyperlink"/>
          </w:rPr>
          <w:t xml:space="preserve">25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behaviour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2000">
        <w:r>
          <w:rPr>
            <w:rStyle w:val="Hyperlink"/>
          </w:rPr>
          <w:t xml:space="preserve">26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2017">
        <w:r>
          <w:rPr>
            <w:rStyle w:val="Hyperlink"/>
          </w:rPr>
          <w:t xml:space="preserve">27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behaviour: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 each year.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6c896e2b80dd0fca0e8ee32fce3f4251147131f">
        <w:r>
          <w:rPr>
            <w:rStyle w:val="Hyperlink"/>
          </w:rPr>
          <w:t xml:space="preserve">28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2015">
        <w:r>
          <w:rPr>
            <w:rStyle w:val="Hyperlink"/>
          </w:rPr>
          <w:t xml:space="preserve">29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2017">
        <w:r>
          <w:rPr>
            <w:rStyle w:val="Hyperlink"/>
          </w:rPr>
          <w:t xml:space="preserve">30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ref-nylander2008">
        <w:r>
          <w:rPr>
            <w:rStyle w:val="Hyperlink"/>
          </w:rPr>
          <w:t xml:space="preserve">31</w:t>
        </w:r>
      </w:hyperlink>
      <w:r>
        <w:t xml:space="preserve">]</w:t>
      </w:r>
      <w:r>
        <w:t xml:space="preserve"> 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 out of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the types of data (see above)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(mean-centered by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5.4 months, and scaled by one standard deviation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= 2.3 months),</w:t>
      </w:r>
      <w:r>
        <w:t xml:space="preserve"> </w:t>
      </w:r>
      <w:r>
        <w:t xml:space="preserve">migratory behaviour (no migration as the reference category versus partial</w:t>
      </w:r>
      <w:r>
        <w:t xml:space="preserve"> </w:t>
      </w:r>
      <w:r>
        <w:t xml:space="preserve">or full migration),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probability of having a sexually-dichromatic plumage</w:t>
      </w:r>
      <w:r>
        <w:t xml:space="preserve"> </w:t>
      </w:r>
      <w:r>
        <w:t xml:space="preserve">patch.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2013">
        <w:r>
          <w:rPr>
            <w:rStyle w:val="Hyperlink"/>
          </w:rPr>
          <w:t xml:space="preserve">32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33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probability of having a sexually-dichromatic plumage patch.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33</w:t>
        </w:r>
      </w:hyperlink>
      <w:r>
        <w:t xml:space="preserve">]</w:t>
      </w:r>
      <w:r>
        <w:t xml:space="preserve">⁠.</w:t>
      </w:r>
    </w:p>
    <w:p>
      <w:pPr>
        <w:pStyle w:val="BodyText"/>
      </w:pPr>
      <w:r>
        <w:t xml:space="preserve">Models’ predictor effects were assessed using 90% highest-density intervals of the posterior distributions and probability of direction, the proportion of the posterior distribution that shares the same sign (positive or negative) as the posterior median</w:t>
      </w:r>
      <w:r>
        <w:t xml:space="preserve"> </w:t>
      </w:r>
      <w:r>
        <w:t xml:space="preserve">[</w:t>
      </w:r>
      <w:hyperlink w:anchor="ref-makowski2019">
        <w:r>
          <w:rPr>
            <w:rStyle w:val="Hyperlink"/>
          </w:rPr>
          <w:t xml:space="preserve">34</w:t>
        </w:r>
      </w:hyperlink>
      <w:r>
        <w:t xml:space="preserve">]</w:t>
      </w:r>
      <w:r>
        <w:t xml:space="preserve">, to provide estimates of the probability of that a predictor has an entirely positive or negative effect on the presence of sexually-dimorphic plumage patches. We assume predictor estimates with a probability of direction ≥ 0.90 to be</w:t>
      </w:r>
      <w:r>
        <w:t xml:space="preserve"> </w:t>
      </w:r>
      <w:r>
        <w:t xml:space="preserve">indicative of a true existence of a predictor’s effect on sexually-dimorphic plumage patches</w:t>
      </w:r>
      <w:r>
        <w:t xml:space="preserve"> </w:t>
      </w:r>
      <w:r>
        <w:t xml:space="preserve">[</w:t>
      </w:r>
      <w:hyperlink w:anchor="ref-makowski2019">
        <w:r>
          <w:rPr>
            <w:rStyle w:val="Hyperlink"/>
          </w:rPr>
          <w:t xml:space="preserve">34</w:t>
        </w:r>
      </w:hyperlink>
      <w:r>
        <w:t xml:space="preserve">]</w:t>
      </w:r>
      <w:r>
        <w:t xml:space="preserve">.</w:t>
      </w:r>
    </w:p>
    <w:bookmarkEnd w:id="28"/>
    <w:bookmarkEnd w:id="29"/>
    <w:bookmarkStart w:id="33" w:name="results"/>
    <w:p>
      <w:pPr>
        <w:pStyle w:val="Heading1"/>
      </w:pPr>
      <w:r>
        <w:t xml:space="preserve">Results</w:t>
      </w:r>
    </w:p>
    <w:bookmarkStart w:id="30" w:name="model-comparisons"/>
    <w:p>
      <w:pPr>
        <w:pStyle w:val="Heading2"/>
      </w:pPr>
      <w:r>
        <w:rPr>
          <w:iCs/>
          <w:i/>
        </w:rPr>
        <w:t xml:space="preserve">Model comparisons</w:t>
      </w:r>
    </w:p>
    <w:p>
      <w:pPr>
        <w:pStyle w:val="FirstParagraph"/>
      </w:pPr>
      <w:r>
        <w:t xml:space="preserve">We obtained N ≥ 4000 effective posterior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 (Supplementary Figure).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similarly well and substantially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 in predicting the probability of having a sexually dimorphic plumage patch with achromatic JND values &gt; 1, 2, or 3 (Table 1; all models predicting achromatic plumage patches had ELPD values within 4, following the convention of Burnham and Anderson (2002)</w:t>
      </w:r>
      <w:r>
        <w:t xml:space="preserve">[</w:t>
      </w:r>
      <w:hyperlink w:anchor="ref-burnham2002">
        <w:r>
          <w:rPr>
            <w:rStyle w:val="Hyperlink"/>
          </w:rPr>
          <w:t xml:space="preserve">35</w:t>
        </w:r>
      </w:hyperlink>
      <w:r>
        <w:t xml:space="preserve">]</w:t>
      </w:r>
      <w:r>
        <w:t xml:space="preserve">). Among models predicting the probability of having a sexually-dichromatic plumage patch with chromatic JND values &gt;1, 2, or 3,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much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models, and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had the top predictive performance (Table 1;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all have ELPD =0, only the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predicting dichromatic plumage patches with had similar predictive performance).</w:t>
      </w:r>
    </w:p>
    <w:bookmarkEnd w:id="30"/>
    <w:bookmarkStart w:id="31" w:name="Xc9d3738ff39431933956e16e0ca3efe3d98bdc3"/>
    <w:p>
      <w:pPr>
        <w:pStyle w:val="Heading2"/>
      </w:pPr>
      <w:r>
        <w:rPr>
          <w:iCs/>
          <w:i/>
        </w:rPr>
        <w:t xml:space="preserve">Achromatic plumage sexual dimorphism predictors</w:t>
      </w:r>
    </w:p>
    <w:p>
      <w:pPr>
        <w:pStyle w:val="FirstParagraph"/>
      </w:pPr>
      <w:r>
        <w:t xml:space="preserve">All model predictors’ effect estimates are provided as the posterior median odds-ratio (OR) and 90% highest-density interval (HDI) in Table 2. Among predictors of achromatic sexually-dimorphic plumage patches, only predictors included in the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 have predictors with probability of direction (</w:t>
      </w:r>
      <w:r>
        <w:rPr>
          <w:iCs/>
          <w:i/>
        </w:rPr>
        <w:t xml:space="preserve">pd</w:t>
      </w:r>
      <w:r>
        <w:t xml:space="preserve">) values ≥ 0.90 (Table 2). Specifically, longer breeding season length was associated with lower odds of a species having a sexually-dimorphic plumage patch with achromatic JND &gt; 2 (breeding season length, OR [90% HDI] = 0.10 [0.01, 1.1], 89.5% decrease in odds per 2.3-month increase in breeding season) and JND &gt; 3 (breeding season length, OR [90% HDI] = 0.25 [0.03, 1.5], 75% decrease in odds per 2.3-month increase in breeding season). Additionally, full migratory behaviour, rather than no migratory behaviour, was associated with greater odds of a species having a sexually-dimorphic plumage patch with achromatic JND &gt; 1 (full migration, OR [90% HDI] = 4.97 [0.95, 24.4]), JND &gt; 2 (full migration, OR [90% HDI] = 66.5 [3.2, 1802.4]) and JND &gt; 3 (OR [90% HDI] = 22.3 [1.6, 307.9]). Finally, both full and partial migratory behaviour, rather than no migration behaviour, in conjunction with longer breeding season lengths are associated with greater odds of a species having a sexually-dimorphic plumage patch with achromatic JND &gt; 1 (breeding season length x full migration, OR [90% HDI] = 4.84 [0.67, 39.6]), JND &gt; 2 (breeding season length x full migration, OR = 66.3 [0.59, 11415.7]; breeding season length x partial migration, OR [90% HDI] = 20.7 [0.9, 589.1]) and JND &gt; 3 (breeding season length x partial migration, OR [90% HDI] = 8.28 [0.76, 109.1]).</w:t>
      </w:r>
    </w:p>
    <w:bookmarkEnd w:id="31"/>
    <w:bookmarkStart w:id="32" w:name="Xcdf0a1d07fbca9396eba698d1b452f1c048a590"/>
    <w:p>
      <w:pPr>
        <w:pStyle w:val="Heading2"/>
      </w:pPr>
      <w:r>
        <w:rPr>
          <w:iCs/>
          <w:i/>
        </w:rPr>
        <w:t xml:space="preserve">Chromatic plumage sexual dimorphism predictors</w:t>
      </w:r>
    </w:p>
    <w:p>
      <w:pPr>
        <w:pStyle w:val="FirstParagraph"/>
      </w:pPr>
      <w:r>
        <w:t xml:space="preserve">Among predictors of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predicting chromatic sexually-dimorphic plumage patches, longer breeding season length was associated with lower odds of a species having a plumage patch with chromatic JND &gt; 2 (OR [90% HDI] = 0.14 [0.01, 1.42], 86% reduction in odds per 2.3 month increase in breeding season), and both full and partial migratory behaviour rather than no migration are associated with greater odds of a species having a plumage patch JND &gt; 1 (partial migration, OR [90% HDI] = 2.2 [0.94, 4.9]), JND &gt; 2 (full migration, OR [90% HDI] = 80.51 [2.8, 3432.9]) and JND &gt; 3 (partial migration, OR [90% HDI] = 71.2 [0.32, 59062.9]; full migration, OR [90% HDI] = 234.7 [ 0.51, 300382.6]). For</w:t>
      </w:r>
      <w:r>
        <w:t xml:space="preserve"> </w:t>
      </w:r>
      <w:r>
        <w:rPr>
          <w:iCs/>
          <w:i/>
        </w:rPr>
        <w:t xml:space="preserve">breeding spacing models</w:t>
      </w:r>
      <w:r>
        <w:t xml:space="preserve">, island residency rather than mainland residency was associated with lower odds of having a plumage patch &gt; 1 chromatic JND (island, OR [90% HDI] = 0.27 [0.09, 0.89]). Finally, more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in sympatry was associated with higher odds of a species having a chromatic plumage patch with JND &gt; 1 (number of sympatric species, OR [90% HDI] = 1.4 [1.18, 1.67], 40% increase in odds per each additional sympatic species), JND &gt; 2 (sympatric species, OR [90% HDI] = 1.59 [1.01, 2.52], 59% increase in odds per each additional sympatric species), and JND &gt; 3 (sympatric species, OR [90% HDI] = 2.11 [1.03, 4.46], 111% increase in odds per each additional sympatric species).</w:t>
      </w:r>
    </w:p>
    <w:bookmarkEnd w:id="32"/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conclusions"/>
    <w:p>
      <w:pPr>
        <w:pStyle w:val="Heading1"/>
      </w:pPr>
      <w:r>
        <w:t xml:space="preserve">Conclusions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bookmarkEnd w:id="36"/>
    <w:bookmarkStart w:id="102" w:name="references"/>
    <w:p>
      <w:pPr>
        <w:pStyle w:val="Heading1"/>
      </w:pPr>
      <w:r>
        <w:t xml:space="preserve">References</w:t>
      </w:r>
    </w:p>
    <w:bookmarkStart w:id="101" w:name="refs"/>
    <w:bookmarkStart w:id="38" w:name="ref-andersson199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M. 1994 Species</w:t>
      </w:r>
      <w:r>
        <w:t xml:space="preserve"> </w:t>
      </w:r>
      <w:r>
        <w:t xml:space="preserve">Recognition</w:t>
      </w:r>
      <w:r>
        <w:t xml:space="preserve">,</w:t>
      </w:r>
      <w:r>
        <w:t xml:space="preserve"> </w:t>
      </w:r>
      <w:r>
        <w:t xml:space="preserve">Sexual Selection</w:t>
      </w:r>
      <w:r>
        <w:t xml:space="preserve">, and</w:t>
      </w:r>
      <w:r>
        <w:t xml:space="preserve"> </w:t>
      </w:r>
      <w:r>
        <w:t xml:space="preserve">Speciation</w:t>
      </w:r>
      <w:r>
        <w:t xml:space="preserve">. In</w:t>
      </w:r>
      <w: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Selection</w:t>
      </w:r>
      <w:r>
        <w:t xml:space="preserve">, pp. 207–226.</w:t>
      </w:r>
      <w:r>
        <w:t xml:space="preserve"> </w:t>
      </w:r>
      <w:r>
        <w:t xml:space="preserve">Princeton University Press</w:t>
      </w:r>
      <w:r>
        <w:t xml:space="preserve">. (doi:</w:t>
      </w:r>
      <w:hyperlink r:id="rId37">
        <w:r>
          <w:rPr>
            <w:rStyle w:val="Hyperlink"/>
          </w:rPr>
          <w:t xml:space="preserve">10.2307/j.ctvs32s1x.13</w:t>
        </w:r>
      </w:hyperlink>
      <w:r>
        <w:t xml:space="preserve">)</w:t>
      </w:r>
    </w:p>
    <w:bookmarkEnd w:id="38"/>
    <w:bookmarkStart w:id="40" w:name="ref-groning200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Gröning J, Hochkirch A. 2008 Reproductive</w:t>
      </w:r>
      <w:r>
        <w:t xml:space="preserve"> </w:t>
      </w:r>
      <w:r>
        <w:t xml:space="preserve">Interference Between Animal Species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Review of Biology</w:t>
      </w:r>
      <w:r>
        <w:t xml:space="preserve"> </w:t>
      </w:r>
      <w:r>
        <w:rPr>
          <w:bCs/>
          <w:b/>
        </w:rPr>
        <w:t xml:space="preserve">83</w:t>
      </w:r>
      <w:r>
        <w:t xml:space="preserve">, 257–282. (doi:</w:t>
      </w:r>
      <w:hyperlink r:id="rId39">
        <w:r>
          <w:rPr>
            <w:rStyle w:val="Hyperlink"/>
          </w:rPr>
          <w:t xml:space="preserve">10.1086/590510</w:t>
        </w:r>
      </w:hyperlink>
      <w:r>
        <w:t xml:space="preserve">)</w:t>
      </w:r>
    </w:p>
    <w:bookmarkEnd w:id="40"/>
    <w:bookmarkStart w:id="42" w:name="ref-west-eberhard198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West-Eberhard MJ. 1983 Sexual</w:t>
      </w:r>
      <w:r>
        <w:t xml:space="preserve"> </w:t>
      </w:r>
      <w:r>
        <w:t xml:space="preserve">Selection</w:t>
      </w:r>
      <w:r>
        <w:t xml:space="preserve">,</w:t>
      </w:r>
      <w:r>
        <w:t xml:space="preserve"> </w:t>
      </w:r>
      <w:r>
        <w:t xml:space="preserve">Social Competition</w:t>
      </w:r>
      <w:r>
        <w:t xml:space="preserve">, and</w:t>
      </w:r>
      <w:r>
        <w:t xml:space="preserve"> </w:t>
      </w:r>
      <w:r>
        <w:t xml:space="preserve">Speciation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Review of Biology</w:t>
      </w:r>
      <w:r>
        <w:t xml:space="preserve"> </w:t>
      </w:r>
      <w:r>
        <w:rPr>
          <w:bCs/>
          <w:b/>
        </w:rPr>
        <w:t xml:space="preserve">58</w:t>
      </w:r>
      <w:r>
        <w:t xml:space="preserve">, 155–183. (doi:</w:t>
      </w:r>
      <w:hyperlink r:id="rId41">
        <w:r>
          <w:rPr>
            <w:rStyle w:val="Hyperlink"/>
          </w:rPr>
          <w:t xml:space="preserve">10.1086/413215</w:t>
        </w:r>
      </w:hyperlink>
      <w:r>
        <w:t xml:space="preserve">)</w:t>
      </w:r>
    </w:p>
    <w:bookmarkEnd w:id="42"/>
    <w:bookmarkStart w:id="44" w:name="ref-martin2015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Martin PR, Montgomerie R, Lougheed SC. 2015 Color</w:t>
      </w:r>
      <w:r>
        <w:t xml:space="preserve"> </w:t>
      </w:r>
      <w:r>
        <w:t xml:space="preserve">Patterns</w:t>
      </w:r>
      <w:r>
        <w:t xml:space="preserve"> </w:t>
      </w:r>
      <w:r>
        <w:t xml:space="preserve">of</w:t>
      </w:r>
      <w:r>
        <w:t xml:space="preserve"> </w:t>
      </w:r>
      <w:r>
        <w:t xml:space="preserve">Closely Related Bird Species Are More Divergent</w:t>
      </w:r>
      <w:r>
        <w:t xml:space="preserve"> </w:t>
      </w:r>
      <w:r>
        <w:t xml:space="preserve">at</w:t>
      </w:r>
      <w:r>
        <w:t xml:space="preserve"> </w:t>
      </w:r>
      <w:r>
        <w:t xml:space="preserve">Intermediate Levels</w:t>
      </w:r>
      <w:r>
        <w:t xml:space="preserve"> </w:t>
      </w:r>
      <w:r>
        <w:t xml:space="preserve">of</w:t>
      </w:r>
      <w:r>
        <w:t xml:space="preserve"> </w:t>
      </w:r>
      <w:r>
        <w:t xml:space="preserve">Breeding</w:t>
      </w:r>
      <w:r>
        <w:t xml:space="preserve">-</w:t>
      </w:r>
      <w:r>
        <w:t xml:space="preserve">Range Sympatry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443–451. (doi:</w:t>
      </w:r>
      <w:hyperlink r:id="rId43">
        <w:r>
          <w:rPr>
            <w:rStyle w:val="Hyperlink"/>
          </w:rPr>
          <w:t xml:space="preserve">10.1086/680206</w:t>
        </w:r>
      </w:hyperlink>
      <w:r>
        <w:t xml:space="preserve">)</w:t>
      </w:r>
    </w:p>
    <w:bookmarkEnd w:id="44"/>
    <w:bookmarkStart w:id="46" w:name="ref-bitton2016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Bitton P-P, Doucet SM. 2016 Sympatric black-headed and elegant trogons focus on different plumage characteristics for species recognition.</w:t>
      </w:r>
      <w:r>
        <w:t xml:space="preserve"> </w:t>
      </w:r>
      <w:r>
        <w:rPr>
          <w:iCs/>
          <w:i/>
        </w:rPr>
        <w:t xml:space="preserve">Animal Behaviour</w:t>
      </w:r>
      <w:r>
        <w:t xml:space="preserve"> </w:t>
      </w:r>
      <w:r>
        <w:rPr>
          <w:bCs/>
          <w:b/>
        </w:rPr>
        <w:t xml:space="preserve">116</w:t>
      </w:r>
      <w:r>
        <w:t xml:space="preserve">, 213–221. (doi:</w:t>
      </w:r>
      <w:hyperlink r:id="rId45">
        <w:r>
          <w:rPr>
            <w:rStyle w:val="Hyperlink"/>
          </w:rPr>
          <w:t xml:space="preserve">10.1016/j.anbehav.2016.03.035</w:t>
        </w:r>
      </w:hyperlink>
      <w:r>
        <w:t xml:space="preserve">)</w:t>
      </w:r>
    </w:p>
    <w:bookmarkEnd w:id="46"/>
    <w:bookmarkStart w:id="48" w:name="ref-martin1996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Martin TE, Badyaev AV. 1996 Sexual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Birds</w:t>
      </w:r>
      <w:r>
        <w:t xml:space="preserve">:</w:t>
      </w:r>
      <w:r>
        <w:t xml:space="preserve"> </w:t>
      </w:r>
      <w:r>
        <w:t xml:space="preserve">Importance</w:t>
      </w:r>
      <w:r>
        <w:t xml:space="preserve"> </w:t>
      </w:r>
      <w:r>
        <w:t xml:space="preserve">of</w:t>
      </w:r>
      <w:r>
        <w:t xml:space="preserve"> </w:t>
      </w:r>
      <w:r>
        <w:t xml:space="preserve">Nest Predation</w:t>
      </w:r>
      <w:r>
        <w:t xml:space="preserve"> </w:t>
      </w:r>
      <w:r>
        <w:t xml:space="preserve">and</w:t>
      </w:r>
      <w:r>
        <w:t xml:space="preserve"> </w:t>
      </w:r>
      <w:r>
        <w:t xml:space="preserve">Nest Location</w:t>
      </w:r>
      <w:r>
        <w:t xml:space="preserve"> </w:t>
      </w:r>
      <w:r>
        <w:t xml:space="preserve">for</w:t>
      </w:r>
      <w:r>
        <w:t xml:space="preserve"> </w:t>
      </w:r>
      <w:r>
        <w:t xml:space="preserve">Females Versus Males</w:t>
      </w:r>
      <w:r>
        <w:t xml:space="preserve">.</w:t>
      </w:r>
      <w:r>
        <w:t xml:space="preserve"> </w:t>
      </w:r>
      <w:r>
        <w:rPr>
          <w:iCs/>
          <w:i/>
        </w:rPr>
        <w:t xml:space="preserve">Evolution</w:t>
      </w:r>
      <w:r>
        <w:t xml:space="preserve"> </w:t>
      </w:r>
      <w:r>
        <w:rPr>
          <w:bCs/>
          <w:b/>
        </w:rPr>
        <w:t xml:space="preserve">50</w:t>
      </w:r>
      <w:r>
        <w:t xml:space="preserve">, 2454–2460. (doi:</w:t>
      </w:r>
      <w:hyperlink r:id="rId47">
        <w:r>
          <w:rPr>
            <w:rStyle w:val="Hyperlink"/>
          </w:rPr>
          <w:t xml:space="preserve">10.2307/2410712</w:t>
        </w:r>
      </w:hyperlink>
      <w:r>
        <w:t xml:space="preserve">)</w:t>
      </w:r>
    </w:p>
    <w:bookmarkEnd w:id="48"/>
    <w:bookmarkStart w:id="50" w:name="ref-burns199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Burns KJ. 1998 A</w:t>
      </w:r>
      <w:r>
        <w:t xml:space="preserve"> </w:t>
      </w:r>
      <w:r>
        <w:t xml:space="preserve">Phylogenetic Perspective</w:t>
      </w:r>
      <w:r>
        <w:t xml:space="preserve"> </w:t>
      </w:r>
      <w:r>
        <w:t xml:space="preserve">on the</w:t>
      </w:r>
      <w:r>
        <w:t xml:space="preserve"> </w:t>
      </w: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Sexual 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Tanagers</w:t>
      </w:r>
      <w:r>
        <w:t xml:space="preserve"> </w:t>
      </w:r>
      <w:r>
        <w:t xml:space="preserve">(thraupidae):</w:t>
      </w:r>
      <w:r>
        <w:t xml:space="preserve"> </w:t>
      </w:r>
      <w:r>
        <w:t xml:space="preserve">The Role</w:t>
      </w:r>
      <w:r>
        <w:t xml:space="preserve"> </w:t>
      </w:r>
      <w:r>
        <w:t xml:space="preserve">of</w:t>
      </w:r>
      <w:r>
        <w:t xml:space="preserve"> </w:t>
      </w:r>
      <w:r>
        <w:t xml:space="preserve">Female Versus Male Plumage</w:t>
      </w:r>
      <w:r>
        <w:t xml:space="preserve">.</w:t>
      </w:r>
      <w:r>
        <w:t xml:space="preserve"> </w:t>
      </w:r>
      <w:r>
        <w:rPr>
          <w:iCs/>
          <w:i/>
        </w:rPr>
        <w:t xml:space="preserve">Evolution</w:t>
      </w:r>
      <w:r>
        <w:t xml:space="preserve"> </w:t>
      </w:r>
      <w:r>
        <w:rPr>
          <w:bCs/>
          <w:b/>
        </w:rPr>
        <w:t xml:space="preserve">52</w:t>
      </w:r>
      <w:r>
        <w:t xml:space="preserve">, 1219–1224. (doi:</w:t>
      </w:r>
      <w:hyperlink r:id="rId49">
        <w:r>
          <w:rPr>
            <w:rStyle w:val="Hyperlink"/>
          </w:rPr>
          <w:t xml:space="preserve">10.1111/j.1558-5646.1998.tb01849.x</w:t>
        </w:r>
      </w:hyperlink>
      <w:r>
        <w:t xml:space="preserve">)</w:t>
      </w:r>
    </w:p>
    <w:bookmarkEnd w:id="50"/>
    <w:bookmarkStart w:id="52" w:name="ref-badyaev2003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Badyaev AV, Hill GE. 2003 Avian</w:t>
      </w:r>
      <w:r>
        <w:t xml:space="preserve"> </w:t>
      </w:r>
      <w:r>
        <w:t xml:space="preserve">Sexual 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t xml:space="preserve"> </w:t>
      </w:r>
      <w:r>
        <w:t xml:space="preserve">Phylogeny</w:t>
      </w:r>
      <w:r>
        <w:t xml:space="preserve"> </w:t>
      </w:r>
      <w:r>
        <w:t xml:space="preserve">and</w:t>
      </w:r>
      <w:r>
        <w:t xml:space="preserve"> </w:t>
      </w:r>
      <w:r>
        <w:t xml:space="preserve">Ecology</w:t>
      </w:r>
      <w:r>
        <w:t xml:space="preserve">.</w:t>
      </w:r>
      <w:r>
        <w:t xml:space="preserve"> </w:t>
      </w:r>
      <w:r>
        <w:rPr>
          <w:iCs/>
          <w:i/>
        </w:rPr>
        <w:t xml:space="preserve">Annual Review of Ecology, Evolution, and Systematics</w:t>
      </w:r>
      <w:r>
        <w:t xml:space="preserve"> </w:t>
      </w:r>
      <w:r>
        <w:rPr>
          <w:bCs/>
          <w:b/>
        </w:rPr>
        <w:t xml:space="preserve">34</w:t>
      </w:r>
      <w:r>
        <w:t xml:space="preserve">, 27–49. (doi:</w:t>
      </w:r>
      <w:hyperlink r:id="rId51">
        <w:r>
          <w:rPr>
            <w:rStyle w:val="Hyperlink"/>
          </w:rPr>
          <w:t xml:space="preserve">10.1146/annurev.ecolsys.34.011802.132441</w:t>
        </w:r>
      </w:hyperlink>
      <w:r>
        <w:t xml:space="preserve">)</w:t>
      </w:r>
    </w:p>
    <w:bookmarkEnd w:id="52"/>
    <w:bookmarkStart w:id="54" w:name="ref-dale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Dale J, Dey C, Delhey K, Kempenaers B, Valcu M. 2015 The effects of life-history and social selection on male and female plumage coloration.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000</w:t>
      </w:r>
      <w:r>
        <w:t xml:space="preserve">, 1–17. (doi:</w:t>
      </w:r>
      <w:hyperlink r:id="rId53">
        <w:r>
          <w:rPr>
            <w:rStyle w:val="Hyperlink"/>
          </w:rPr>
          <w:t xml:space="preserve">10.1038/nature15509</w:t>
        </w:r>
      </w:hyperlink>
      <w:r>
        <w:t xml:space="preserve">)</w:t>
      </w:r>
    </w:p>
    <w:bookmarkEnd w:id="54"/>
    <w:bookmarkStart w:id="56" w:name="ref-dunn2015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Dunn PO, Armenta JK, Whittingham LA. 2015 Natural and sexual selection act on different axes of variation in avian plumage color.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rPr>
          <w:bCs/>
          <w:b/>
        </w:rPr>
        <w:t xml:space="preserve">1</w:t>
      </w:r>
      <w:r>
        <w:t xml:space="preserve">, e1400155. (doi:</w:t>
      </w:r>
      <w:hyperlink r:id="rId55">
        <w:r>
          <w:rPr>
            <w:rStyle w:val="Hyperlink"/>
          </w:rPr>
          <w:t xml:space="preserve">10.1126/sciadv.1400155</w:t>
        </w:r>
      </w:hyperlink>
      <w:r>
        <w:t xml:space="preserve">)</w:t>
      </w:r>
    </w:p>
    <w:bookmarkEnd w:id="56"/>
    <w:bookmarkStart w:id="58" w:name="ref-hawkins2012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Hawkins GL, Hill GE, Mercadante A. 2012 Delayed plumage maturation and delayed reproductive investment in birds.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rPr>
          <w:bCs/>
          <w:b/>
        </w:rPr>
        <w:t xml:space="preserve">87</w:t>
      </w:r>
      <w:r>
        <w:t xml:space="preserve">, 257–274. (doi:</w:t>
      </w:r>
      <w:hyperlink r:id="rId57">
        <w:r>
          <w:rPr>
            <w:rStyle w:val="Hyperlink"/>
          </w:rPr>
          <w:t xml:space="preserve">10.1111/j.1469-185X.2011.00193.x</w:t>
        </w:r>
      </w:hyperlink>
      <w:r>
        <w:t xml:space="preserve">)</w:t>
      </w:r>
    </w:p>
    <w:bookmarkEnd w:id="58"/>
    <w:bookmarkStart w:id="60" w:name="ref-friedman2009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Friedman NR, Hofmann CM, Kondo B, Omland KE. 2009 Correlated evolution of migration and sexual dichromatism in the new world orioles (</w:t>
      </w:r>
      <w:r>
        <w:t xml:space="preserve">Icterus</w:t>
      </w:r>
      <w:r>
        <w:t xml:space="preserve">).</w:t>
      </w:r>
      <w:r>
        <w:t xml:space="preserve"> </w:t>
      </w:r>
      <w:r>
        <w:rPr>
          <w:iCs/>
          <w:i/>
        </w:rPr>
        <w:t xml:space="preserve">Evolution</w:t>
      </w:r>
      <w:r>
        <w:t xml:space="preserve"> </w:t>
      </w:r>
      <w:r>
        <w:rPr>
          <w:bCs/>
          <w:b/>
        </w:rPr>
        <w:t xml:space="preserve">63</w:t>
      </w:r>
      <w:r>
        <w:t xml:space="preserve">, 3269–3274. (doi:</w:t>
      </w:r>
      <w:hyperlink r:id="rId59">
        <w:r>
          <w:rPr>
            <w:rStyle w:val="Hyperlink"/>
          </w:rPr>
          <w:t xml:space="preserve">10.1111/j.1558-5646.2009.00792.x</w:t>
        </w:r>
      </w:hyperlink>
      <w:r>
        <w:t xml:space="preserve">)</w:t>
      </w:r>
    </w:p>
    <w:bookmarkEnd w:id="60"/>
    <w:bookmarkStart w:id="62" w:name="ref-simpson2015a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Simpson RK, Johnson MA, Murphy TG. 2015 Migration and the evolution of sexual dichromatism: Evolutionary loss of female coloration with migration among wood-warblers.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rPr>
          <w:bCs/>
          <w:b/>
        </w:rPr>
        <w:t xml:space="preserve">282</w:t>
      </w:r>
      <w:r>
        <w:t xml:space="preserve">, 20150375. (doi:</w:t>
      </w:r>
      <w:hyperlink r:id="rId61">
        <w:r>
          <w:rPr>
            <w:rStyle w:val="Hyperlink"/>
          </w:rPr>
          <w:t xml:space="preserve">10.1098/rspb.2015.0375</w:t>
        </w:r>
      </w:hyperlink>
      <w:r>
        <w:t xml:space="preserve">)</w:t>
      </w:r>
    </w:p>
    <w:bookmarkEnd w:id="62"/>
    <w:bookmarkStart w:id="64" w:name="ref-matysiokova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Matysioková B, Remeš V, Cockburn A. 2017 Broad-scale variation in sexual dichromatism in songbirds is not explained by sex differences in exposure to predators during incubation.</w:t>
      </w:r>
      <w:r>
        <w:t xml:space="preserve"> </w:t>
      </w:r>
      <w:r>
        <w:rPr>
          <w:iCs/>
          <w:i/>
        </w:rPr>
        <w:t xml:space="preserve">Journal of Avian Biology</w:t>
      </w:r>
      <w:r>
        <w:t xml:space="preserve"> </w:t>
      </w:r>
      <w:r>
        <w:rPr>
          <w:bCs/>
          <w:b/>
        </w:rPr>
        <w:t xml:space="preserve">48</w:t>
      </w:r>
      <w:r>
        <w:t xml:space="preserve">, 1322–1330. (doi:</w:t>
      </w:r>
      <w:hyperlink r:id="rId63">
        <w:r>
          <w:rPr>
            <w:rStyle w:val="Hyperlink"/>
          </w:rPr>
          <w:t xml:space="preserve">10.1111/jav.01144</w:t>
        </w:r>
      </w:hyperlink>
      <w:r>
        <w:t xml:space="preserve">)</w:t>
      </w:r>
    </w:p>
    <w:bookmarkEnd w:id="64"/>
    <w:bookmarkStart w:id="66" w:name="ref-seddon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Seddon N</w:t>
      </w:r>
      <w:r>
        <w:t xml:space="preserve"> </w:t>
      </w:r>
      <w:r>
        <w:rPr>
          <w:iCs/>
          <w:i/>
        </w:rPr>
        <w:t xml:space="preserve">et al.</w:t>
      </w:r>
      <w:r>
        <w:t xml:space="preserve"> 2013 Sexual selection accelerates signal evolution during speciation in birds.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rPr>
          <w:bCs/>
          <w:b/>
        </w:rPr>
        <w:t xml:space="preserve">280</w:t>
      </w:r>
      <w:r>
        <w:t xml:space="preserve">, 20131065. (doi:</w:t>
      </w:r>
      <w:hyperlink r:id="rId65">
        <w:r>
          <w:rPr>
            <w:rStyle w:val="Hyperlink"/>
          </w:rPr>
          <w:t xml:space="preserve">10.1098/rspb.2013.1065</w:t>
        </w:r>
      </w:hyperlink>
      <w:r>
        <w:t xml:space="preserve">)</w:t>
      </w:r>
    </w:p>
    <w:bookmarkEnd w:id="66"/>
    <w:bookmarkStart w:id="68" w:name="ref-stre199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Stre G-P, Moum T, Bureš S, Král M, Adamjan M, Moreno J. 1997 A sexually selected character displacement in flycatchers reinforces premating isolation.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387</w:t>
      </w:r>
      <w:r>
        <w:t xml:space="preserve">, 589–592. (doi:</w:t>
      </w:r>
      <w:hyperlink r:id="rId67">
        <w:r>
          <w:rPr>
            <w:rStyle w:val="Hyperlink"/>
          </w:rPr>
          <w:t xml:space="preserve">10.1038/42451</w:t>
        </w:r>
      </w:hyperlink>
      <w:r>
        <w:t xml:space="preserve">)</w:t>
      </w:r>
    </w:p>
    <w:bookmarkEnd w:id="68"/>
    <w:bookmarkStart w:id="70" w:name="ref-cooney2017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69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70"/>
    <w:bookmarkStart w:id="72" w:name="ref-cooney2019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Cooney CR, Varley ZK, Nouri LO, Moody CJA, Jardine MD, Thomas GH. 2019 Sexual selection predicts the rate and direction of colour divergence in a large avian radiation.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10</w:t>
      </w:r>
      <w:r>
        <w:t xml:space="preserve">, 1773. (doi:</w:t>
      </w:r>
      <w:hyperlink r:id="rId71">
        <w:r>
          <w:rPr>
            <w:rStyle w:val="Hyperlink"/>
          </w:rPr>
          <w:t xml:space="preserve">10.1038/s41467-019-09859-7</w:t>
        </w:r>
      </w:hyperlink>
      <w:r>
        <w:t xml:space="preserve">)</w:t>
      </w:r>
    </w:p>
    <w:bookmarkEnd w:id="72"/>
    <w:bookmarkStart w:id="73" w:name="ref-andersson2006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73"/>
    <w:bookmarkStart w:id="75" w:name="ref-vorobyev1998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74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75"/>
    <w:bookmarkStart w:id="77" w:name="ref-hart2000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76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77"/>
    <w:bookmarkStart w:id="79" w:name="ref-maia2019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78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79"/>
    <w:bookmarkStart w:id="80" w:name="ref-rcoreteam2020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80"/>
    <w:bookmarkStart w:id="82" w:name="ref-endler1993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Endler JA.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81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82"/>
    <w:bookmarkStart w:id="84" w:name="ref-kemp2015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83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84"/>
    <w:bookmarkStart w:id="85" w:name="ref-clement2000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85"/>
    <w:bookmarkStart w:id="86" w:name="ref-delhoyo2017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86"/>
    <w:bookmarkStart w:id="87" w:name="X6c896e2b80dd0fca0e8ee32fce3f4251147131f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87"/>
    <w:bookmarkStart w:id="89" w:name="ref-vilela2015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88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89"/>
    <w:bookmarkStart w:id="91" w:name="ref-burkner201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90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91"/>
    <w:bookmarkStart w:id="93" w:name="ref-nylander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92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93"/>
    <w:bookmarkStart w:id="95" w:name="ref-gelman2013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94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95"/>
    <w:bookmarkStart w:id="97" w:name="ref-vehtari2017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96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97"/>
    <w:bookmarkStart w:id="99" w:name="ref-makowski2019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Makowski D, Ben-Shachar MS, Chen SHA, Lüdecke D. 2019 Indices of</w:t>
      </w:r>
      <w:r>
        <w:t xml:space="preserve"> </w:t>
      </w:r>
      <w:r>
        <w:t xml:space="preserve">Effect Existence</w:t>
      </w:r>
      <w:r>
        <w:t xml:space="preserve"> </w:t>
      </w:r>
      <w:r>
        <w:t xml:space="preserve">and</w:t>
      </w:r>
      <w:r>
        <w:t xml:space="preserve"> </w:t>
      </w:r>
      <w:r>
        <w:t xml:space="preserve">Significance</w:t>
      </w:r>
      <w:r>
        <w:t xml:space="preserve"> </w:t>
      </w:r>
      <w:r>
        <w:t xml:space="preserve">in the</w:t>
      </w:r>
      <w:r>
        <w:t xml:space="preserve"> </w:t>
      </w:r>
      <w:r>
        <w:t xml:space="preserve">Bayesian Framework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rPr>
          <w:bCs/>
          <w:b/>
        </w:rPr>
        <w:t xml:space="preserve">10</w:t>
      </w:r>
      <w:r>
        <w:t xml:space="preserve">. (doi:</w:t>
      </w:r>
      <w:hyperlink r:id="rId98">
        <w:r>
          <w:rPr>
            <w:rStyle w:val="Hyperlink"/>
          </w:rPr>
          <w:t xml:space="preserve">10.3389/fpsyg.2019.02767</w:t>
        </w:r>
      </w:hyperlink>
      <w:r>
        <w:t xml:space="preserve">)</w:t>
      </w:r>
    </w:p>
    <w:bookmarkEnd w:id="99"/>
    <w:bookmarkStart w:id="100" w:name="ref-burnham2002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Burnham KP, Anderson DR. 2002</w:t>
      </w:r>
      <w:r>
        <w:t xml:space="preserve"> </w:t>
      </w:r>
      <w:r>
        <w:rPr>
          <w:iCs/>
          <w:i/>
        </w:rPr>
        <w:t xml:space="preserve">Model selection and multimodel inference: A practical information-theoretic approach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</w:p>
    <w:bookmarkEnd w:id="100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6" Target="https://doi.org/10.1007/s003590050437" TargetMode="External" /><Relationship Type="http://schemas.openxmlformats.org/officeDocument/2006/relationships/hyperlink" Id="rId96" Target="https://doi.org/10.1007/s11222-016-9696-4" TargetMode="External" /><Relationship Type="http://schemas.openxmlformats.org/officeDocument/2006/relationships/hyperlink" Id="rId45" Target="https://doi.org/10.1016/j.anbehav.2016.03.035" TargetMode="External" /><Relationship Type="http://schemas.openxmlformats.org/officeDocument/2006/relationships/hyperlink" Id="rId67" Target="https://doi.org/10.1038/42451" TargetMode="External" /><Relationship Type="http://schemas.openxmlformats.org/officeDocument/2006/relationships/hyperlink" Id="rId53" Target="https://doi.org/10.1038/nature15509" TargetMode="External" /><Relationship Type="http://schemas.openxmlformats.org/officeDocument/2006/relationships/hyperlink" Id="rId71" Target="https://doi.org/10.1038/s41467-019-09859-7" TargetMode="External" /><Relationship Type="http://schemas.openxmlformats.org/officeDocument/2006/relationships/hyperlink" Id="rId92" Target="https://doi.org/10.1080/10635150802044003" TargetMode="External" /><Relationship Type="http://schemas.openxmlformats.org/officeDocument/2006/relationships/hyperlink" Id="rId41" Target="https://doi.org/10.1086/413215" TargetMode="External" /><Relationship Type="http://schemas.openxmlformats.org/officeDocument/2006/relationships/hyperlink" Id="rId39" Target="https://doi.org/10.1086/590510" TargetMode="External" /><Relationship Type="http://schemas.openxmlformats.org/officeDocument/2006/relationships/hyperlink" Id="rId43" Target="https://doi.org/10.1086/680206" TargetMode="External" /><Relationship Type="http://schemas.openxmlformats.org/officeDocument/2006/relationships/hyperlink" Id="rId83" Target="https://doi.org/10.1086/681021" TargetMode="External" /><Relationship Type="http://schemas.openxmlformats.org/officeDocument/2006/relationships/hyperlink" Id="rId74" Target="https://doi.org/10.1098/rspb.1998.0302" TargetMode="External" /><Relationship Type="http://schemas.openxmlformats.org/officeDocument/2006/relationships/hyperlink" Id="rId65" Target="https://doi.org/10.1098/rspb.2013.1065" TargetMode="External" /><Relationship Type="http://schemas.openxmlformats.org/officeDocument/2006/relationships/hyperlink" Id="rId61" Target="https://doi.org/10.1098/rspb.2015.0375" TargetMode="External" /><Relationship Type="http://schemas.openxmlformats.org/officeDocument/2006/relationships/hyperlink" Id="rId88" Target="https://doi.org/10.1111/2041-210X.12401" TargetMode="External" /><Relationship Type="http://schemas.openxmlformats.org/officeDocument/2006/relationships/hyperlink" Id="rId78" Target="https://doi.org/10.1111/2041-210X.13174" TargetMode="External" /><Relationship Type="http://schemas.openxmlformats.org/officeDocument/2006/relationships/hyperlink" Id="rId69" Target="https://doi.org/10.1111/ele.12780" TargetMode="External" /><Relationship Type="http://schemas.openxmlformats.org/officeDocument/2006/relationships/hyperlink" Id="rId57" Target="https://doi.org/10.1111/j.1469-185X.2011.00193.x" TargetMode="External" /><Relationship Type="http://schemas.openxmlformats.org/officeDocument/2006/relationships/hyperlink" Id="rId49" Target="https://doi.org/10.1111/j.1558-5646.1998.tb01849.x" TargetMode="External" /><Relationship Type="http://schemas.openxmlformats.org/officeDocument/2006/relationships/hyperlink" Id="rId59" Target="https://doi.org/10.1111/j.1558-5646.2009.00792.x" TargetMode="External" /><Relationship Type="http://schemas.openxmlformats.org/officeDocument/2006/relationships/hyperlink" Id="rId63" Target="https://doi.org/10.1111/jav.01144" TargetMode="External" /><Relationship Type="http://schemas.openxmlformats.org/officeDocument/2006/relationships/hyperlink" Id="rId55" Target="https://doi.org/10.1126/sciadv.1400155" TargetMode="External" /><Relationship Type="http://schemas.openxmlformats.org/officeDocument/2006/relationships/hyperlink" Id="rId51" Target="https://doi.org/10.1146/annurev.ecolsys.34.011802.132441" TargetMode="External" /><Relationship Type="http://schemas.openxmlformats.org/officeDocument/2006/relationships/hyperlink" Id="rId94" Target="https://doi.org/10.1201/b16018" TargetMode="External" /><Relationship Type="http://schemas.openxmlformats.org/officeDocument/2006/relationships/hyperlink" Id="rId90" Target="https://doi.org/10.18637/jss.v080.i01" TargetMode="External" /><Relationship Type="http://schemas.openxmlformats.org/officeDocument/2006/relationships/hyperlink" Id="rId47" Target="https://doi.org/10.2307/2410712" TargetMode="External" /><Relationship Type="http://schemas.openxmlformats.org/officeDocument/2006/relationships/hyperlink" Id="rId81" Target="https://doi.org/10.2307/2937121" TargetMode="External" /><Relationship Type="http://schemas.openxmlformats.org/officeDocument/2006/relationships/hyperlink" Id="rId37" Target="https://doi.org/10.2307/j.ctvs32s1x.13" TargetMode="External" /><Relationship Type="http://schemas.openxmlformats.org/officeDocument/2006/relationships/hyperlink" Id="rId98" Target="https://doi.org/10.3389/fpsyg.2019.0276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s://doi.org/10.1007/s003590050437" TargetMode="External" /><Relationship Type="http://schemas.openxmlformats.org/officeDocument/2006/relationships/hyperlink" Id="rId96" Target="https://doi.org/10.1007/s11222-016-9696-4" TargetMode="External" /><Relationship Type="http://schemas.openxmlformats.org/officeDocument/2006/relationships/hyperlink" Id="rId45" Target="https://doi.org/10.1016/j.anbehav.2016.03.035" TargetMode="External" /><Relationship Type="http://schemas.openxmlformats.org/officeDocument/2006/relationships/hyperlink" Id="rId67" Target="https://doi.org/10.1038/42451" TargetMode="External" /><Relationship Type="http://schemas.openxmlformats.org/officeDocument/2006/relationships/hyperlink" Id="rId53" Target="https://doi.org/10.1038/nature15509" TargetMode="External" /><Relationship Type="http://schemas.openxmlformats.org/officeDocument/2006/relationships/hyperlink" Id="rId71" Target="https://doi.org/10.1038/s41467-019-09859-7" TargetMode="External" /><Relationship Type="http://schemas.openxmlformats.org/officeDocument/2006/relationships/hyperlink" Id="rId92" Target="https://doi.org/10.1080/10635150802044003" TargetMode="External" /><Relationship Type="http://schemas.openxmlformats.org/officeDocument/2006/relationships/hyperlink" Id="rId41" Target="https://doi.org/10.1086/413215" TargetMode="External" /><Relationship Type="http://schemas.openxmlformats.org/officeDocument/2006/relationships/hyperlink" Id="rId39" Target="https://doi.org/10.1086/590510" TargetMode="External" /><Relationship Type="http://schemas.openxmlformats.org/officeDocument/2006/relationships/hyperlink" Id="rId43" Target="https://doi.org/10.1086/680206" TargetMode="External" /><Relationship Type="http://schemas.openxmlformats.org/officeDocument/2006/relationships/hyperlink" Id="rId83" Target="https://doi.org/10.1086/681021" TargetMode="External" /><Relationship Type="http://schemas.openxmlformats.org/officeDocument/2006/relationships/hyperlink" Id="rId74" Target="https://doi.org/10.1098/rspb.1998.0302" TargetMode="External" /><Relationship Type="http://schemas.openxmlformats.org/officeDocument/2006/relationships/hyperlink" Id="rId65" Target="https://doi.org/10.1098/rspb.2013.1065" TargetMode="External" /><Relationship Type="http://schemas.openxmlformats.org/officeDocument/2006/relationships/hyperlink" Id="rId61" Target="https://doi.org/10.1098/rspb.2015.0375" TargetMode="External" /><Relationship Type="http://schemas.openxmlformats.org/officeDocument/2006/relationships/hyperlink" Id="rId88" Target="https://doi.org/10.1111/2041-210X.12401" TargetMode="External" /><Relationship Type="http://schemas.openxmlformats.org/officeDocument/2006/relationships/hyperlink" Id="rId78" Target="https://doi.org/10.1111/2041-210X.13174" TargetMode="External" /><Relationship Type="http://schemas.openxmlformats.org/officeDocument/2006/relationships/hyperlink" Id="rId69" Target="https://doi.org/10.1111/ele.12780" TargetMode="External" /><Relationship Type="http://schemas.openxmlformats.org/officeDocument/2006/relationships/hyperlink" Id="rId57" Target="https://doi.org/10.1111/j.1469-185X.2011.00193.x" TargetMode="External" /><Relationship Type="http://schemas.openxmlformats.org/officeDocument/2006/relationships/hyperlink" Id="rId49" Target="https://doi.org/10.1111/j.1558-5646.1998.tb01849.x" TargetMode="External" /><Relationship Type="http://schemas.openxmlformats.org/officeDocument/2006/relationships/hyperlink" Id="rId59" Target="https://doi.org/10.1111/j.1558-5646.2009.00792.x" TargetMode="External" /><Relationship Type="http://schemas.openxmlformats.org/officeDocument/2006/relationships/hyperlink" Id="rId63" Target="https://doi.org/10.1111/jav.01144" TargetMode="External" /><Relationship Type="http://schemas.openxmlformats.org/officeDocument/2006/relationships/hyperlink" Id="rId55" Target="https://doi.org/10.1126/sciadv.1400155" TargetMode="External" /><Relationship Type="http://schemas.openxmlformats.org/officeDocument/2006/relationships/hyperlink" Id="rId51" Target="https://doi.org/10.1146/annurev.ecolsys.34.011802.132441" TargetMode="External" /><Relationship Type="http://schemas.openxmlformats.org/officeDocument/2006/relationships/hyperlink" Id="rId94" Target="https://doi.org/10.1201/b16018" TargetMode="External" /><Relationship Type="http://schemas.openxmlformats.org/officeDocument/2006/relationships/hyperlink" Id="rId90" Target="https://doi.org/10.18637/jss.v080.i01" TargetMode="External" /><Relationship Type="http://schemas.openxmlformats.org/officeDocument/2006/relationships/hyperlink" Id="rId47" Target="https://doi.org/10.2307/2410712" TargetMode="External" /><Relationship Type="http://schemas.openxmlformats.org/officeDocument/2006/relationships/hyperlink" Id="rId81" Target="https://doi.org/10.2307/2937121" TargetMode="External" /><Relationship Type="http://schemas.openxmlformats.org/officeDocument/2006/relationships/hyperlink" Id="rId37" Target="https://doi.org/10.2307/j.ctvs32s1x.13" TargetMode="External" /><Relationship Type="http://schemas.openxmlformats.org/officeDocument/2006/relationships/hyperlink" Id="rId98" Target="https://doi.org/10.3389/fpsyg.2019.027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species recognition favors greater avian-perceived plumage dichromatism in true thrushes (genus: Turdus)</dc:title>
  <dc:creator>Alec B. Luro1*, Mark E. Hauber1</dc:creator>
  <cp:keywords/>
  <dcterms:created xsi:type="dcterms:W3CDTF">2021-06-24T17:03:14Z</dcterms:created>
  <dcterms:modified xsi:type="dcterms:W3CDTF">2021-06-24T17:03:14Z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