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16717" w14:textId="77777777" w:rsidR="00F469C6" w:rsidRDefault="00361584">
      <w:pPr>
        <w:pStyle w:val="a4"/>
        <w:spacing w:line="240" w:lineRule="auto"/>
        <w:jc w:val="center"/>
        <w:rPr>
          <w:rFonts w:cs="Times New Roman"/>
          <w:szCs w:val="28"/>
        </w:rPr>
      </w:pPr>
      <w:bookmarkStart w:id="0" w:name="docs-internal-guid-05270e7e-7fff-1707-47"/>
      <w:bookmarkEnd w:id="0"/>
      <w:r>
        <w:rPr>
          <w:rFonts w:ascii="Times New Roman;serif" w:hAnsi="Times New Roman;serif" w:cs="Times New Roman"/>
          <w:color w:val="000000"/>
          <w:sz w:val="32"/>
          <w:szCs w:val="28"/>
        </w:rPr>
        <w:t>Министерство образования Республики Беларусь</w:t>
      </w:r>
    </w:p>
    <w:p w14:paraId="6A3C9566" w14:textId="77777777" w:rsidR="00F469C6" w:rsidRDefault="00F469C6">
      <w:pPr>
        <w:pStyle w:val="a4"/>
        <w:rPr>
          <w:rFonts w:cs="Times New Roman"/>
          <w:szCs w:val="28"/>
        </w:rPr>
      </w:pPr>
    </w:p>
    <w:p w14:paraId="313C652A" w14:textId="77777777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Учреждение образования</w:t>
      </w:r>
    </w:p>
    <w:p w14:paraId="7501C071" w14:textId="77777777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«Белорусский государственный университет </w:t>
      </w:r>
    </w:p>
    <w:p w14:paraId="5F409421" w14:textId="77777777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информатики и радиоэлектроники»</w:t>
      </w:r>
    </w:p>
    <w:p w14:paraId="4B7F912D" w14:textId="77777777" w:rsidR="00F469C6" w:rsidRDefault="00361584">
      <w:pPr>
        <w:pStyle w:val="a4"/>
        <w:rPr>
          <w:rFonts w:cs="Times New Roman"/>
          <w:szCs w:val="28"/>
        </w:rPr>
      </w:pPr>
      <w:r>
        <w:br/>
      </w:r>
    </w:p>
    <w:p w14:paraId="77F1475B" w14:textId="77777777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Кафедра защиты информации</w:t>
      </w:r>
    </w:p>
    <w:p w14:paraId="7E4B705B" w14:textId="77777777" w:rsidR="00F469C6" w:rsidRDefault="00361584">
      <w:pPr>
        <w:pStyle w:val="a4"/>
        <w:rPr>
          <w:rFonts w:cs="Times New Roman"/>
          <w:szCs w:val="28"/>
        </w:rPr>
      </w:pPr>
      <w:r>
        <w:br/>
      </w:r>
      <w:r>
        <w:br/>
      </w:r>
    </w:p>
    <w:p w14:paraId="2F224E78" w14:textId="77777777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6"/>
        </w:rPr>
        <w:t>ОТЧЕТ</w:t>
      </w:r>
    </w:p>
    <w:p w14:paraId="52290B5D" w14:textId="77777777" w:rsidR="00F469C6" w:rsidRDefault="00F469C6">
      <w:pPr>
        <w:pStyle w:val="a4"/>
        <w:rPr>
          <w:rFonts w:cs="Times New Roman"/>
          <w:szCs w:val="28"/>
        </w:rPr>
      </w:pPr>
    </w:p>
    <w:p w14:paraId="725090D2" w14:textId="13E6061A" w:rsidR="00F469C6" w:rsidRDefault="00361584" w:rsidP="00E806E0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6"/>
        </w:rPr>
        <w:t>Практическое занятие №5</w:t>
      </w:r>
    </w:p>
    <w:p w14:paraId="3CE25B64" w14:textId="7A84CAD0" w:rsidR="00F469C6" w:rsidRDefault="00361584" w:rsidP="00E806E0">
      <w:pPr>
        <w:pStyle w:val="a4"/>
        <w:spacing w:after="0" w:line="280" w:lineRule="auto"/>
        <w:jc w:val="center"/>
        <w:rPr>
          <w:rFonts w:ascii="Times New Roman;serif" w:hAnsi="Times New Roman;serif"/>
          <w:color w:val="000000"/>
          <w:sz w:val="36"/>
        </w:rPr>
      </w:pPr>
      <w:r>
        <w:rPr>
          <w:rFonts w:ascii="Times New Roman;serif" w:hAnsi="Times New Roman;serif"/>
          <w:color w:val="000000"/>
          <w:sz w:val="36"/>
        </w:rPr>
        <w:t>«Защита прав авторов и правообладателей»</w:t>
      </w:r>
    </w:p>
    <w:p w14:paraId="536596AE" w14:textId="77777777" w:rsidR="00E806E0" w:rsidRDefault="00E806E0" w:rsidP="00E806E0">
      <w:pPr>
        <w:pStyle w:val="a4"/>
        <w:spacing w:after="0" w:line="280" w:lineRule="auto"/>
        <w:jc w:val="center"/>
        <w:rPr>
          <w:rFonts w:cs="Times New Roman"/>
          <w:szCs w:val="28"/>
        </w:rPr>
      </w:pPr>
    </w:p>
    <w:p w14:paraId="52D8D2CF" w14:textId="77777777" w:rsidR="00F469C6" w:rsidRDefault="00361584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Выполнили:</w:t>
      </w:r>
    </w:p>
    <w:p w14:paraId="631C33FA" w14:textId="1FF68AC8" w:rsidR="00F469C6" w:rsidRDefault="00361584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 xml:space="preserve">студенты гр. № </w:t>
      </w:r>
      <w:r w:rsidR="00E806E0" w:rsidRPr="00E806E0">
        <w:rPr>
          <w:rFonts w:ascii="Times New Roman;serif" w:hAnsi="Times New Roman;serif"/>
          <w:color w:val="000000"/>
          <w:sz w:val="32"/>
        </w:rPr>
        <w:t>3</w:t>
      </w:r>
      <w:r>
        <w:rPr>
          <w:rFonts w:ascii="Times New Roman;serif" w:hAnsi="Times New Roman;serif"/>
          <w:color w:val="000000"/>
          <w:sz w:val="32"/>
        </w:rPr>
        <w:t>51001</w:t>
      </w:r>
    </w:p>
    <w:p w14:paraId="4C02E36C" w14:textId="32400CEB" w:rsidR="00F469C6" w:rsidRDefault="00E806E0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Ушаков</w:t>
      </w:r>
      <w:r w:rsidR="00361584">
        <w:rPr>
          <w:rFonts w:ascii="Times New Roman;serif" w:hAnsi="Times New Roman;serif"/>
          <w:color w:val="000000"/>
          <w:sz w:val="32"/>
        </w:rPr>
        <w:t xml:space="preserve"> А.</w:t>
      </w:r>
      <w:r>
        <w:rPr>
          <w:rFonts w:ascii="Times New Roman;serif" w:hAnsi="Times New Roman;serif"/>
          <w:color w:val="000000"/>
          <w:sz w:val="32"/>
        </w:rPr>
        <w:t>Д</w:t>
      </w:r>
      <w:r w:rsidR="00361584">
        <w:rPr>
          <w:rFonts w:ascii="Times New Roman;serif" w:hAnsi="Times New Roman;serif"/>
          <w:color w:val="000000"/>
          <w:sz w:val="32"/>
        </w:rPr>
        <w:t>.</w:t>
      </w:r>
    </w:p>
    <w:p w14:paraId="25DB8BC4" w14:textId="024FB662" w:rsidR="00F469C6" w:rsidRDefault="00E806E0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Виктор</w:t>
      </w:r>
      <w:r w:rsidR="00361584">
        <w:rPr>
          <w:rFonts w:ascii="Times New Roman;serif" w:hAnsi="Times New Roman;serif"/>
          <w:color w:val="000000"/>
          <w:sz w:val="32"/>
        </w:rPr>
        <w:t xml:space="preserve"> </w:t>
      </w:r>
      <w:r>
        <w:rPr>
          <w:rFonts w:ascii="Times New Roman;serif" w:hAnsi="Times New Roman;serif"/>
          <w:color w:val="000000"/>
          <w:sz w:val="32"/>
        </w:rPr>
        <w:t>В</w:t>
      </w:r>
      <w:r w:rsidR="00361584">
        <w:rPr>
          <w:rFonts w:ascii="Times New Roman;serif" w:hAnsi="Times New Roman;serif"/>
          <w:color w:val="000000"/>
          <w:sz w:val="32"/>
        </w:rPr>
        <w:t>.В.</w:t>
      </w:r>
    </w:p>
    <w:p w14:paraId="728D9666" w14:textId="7E0AC6FB" w:rsidR="00F469C6" w:rsidRDefault="00E806E0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Бетеня</w:t>
      </w:r>
      <w:r w:rsidR="00361584">
        <w:rPr>
          <w:rFonts w:ascii="Times New Roman;serif" w:hAnsi="Times New Roman;serif"/>
          <w:color w:val="000000"/>
          <w:sz w:val="32"/>
        </w:rPr>
        <w:t xml:space="preserve"> </w:t>
      </w:r>
      <w:r>
        <w:rPr>
          <w:rFonts w:ascii="Times New Roman;serif" w:hAnsi="Times New Roman;serif"/>
          <w:color w:val="000000"/>
          <w:sz w:val="32"/>
        </w:rPr>
        <w:t>К</w:t>
      </w:r>
      <w:r w:rsidR="00361584">
        <w:rPr>
          <w:rFonts w:ascii="Times New Roman;serif" w:hAnsi="Times New Roman;serif"/>
          <w:color w:val="000000"/>
          <w:sz w:val="32"/>
        </w:rPr>
        <w:t>.</w:t>
      </w:r>
      <w:r>
        <w:rPr>
          <w:rFonts w:ascii="Times New Roman;serif" w:hAnsi="Times New Roman;serif"/>
          <w:color w:val="000000"/>
          <w:sz w:val="32"/>
        </w:rPr>
        <w:t>С</w:t>
      </w:r>
      <w:r w:rsidR="00361584">
        <w:rPr>
          <w:rFonts w:ascii="Times New Roman;serif" w:hAnsi="Times New Roman;serif"/>
          <w:color w:val="000000"/>
          <w:sz w:val="32"/>
        </w:rPr>
        <w:t>.</w:t>
      </w:r>
    </w:p>
    <w:p w14:paraId="3CCFA9BC" w14:textId="6511F3F2" w:rsidR="00F469C6" w:rsidRDefault="00E806E0">
      <w:pPr>
        <w:pStyle w:val="a4"/>
        <w:spacing w:after="0" w:line="345" w:lineRule="auto"/>
        <w:rPr>
          <w:rFonts w:ascii="Times New Roman;serif" w:hAnsi="Times New Roman;serif"/>
          <w:color w:val="000000"/>
          <w:sz w:val="32"/>
        </w:rPr>
      </w:pPr>
      <w:r>
        <w:rPr>
          <w:rFonts w:ascii="Times New Roman;serif" w:hAnsi="Times New Roman;serif"/>
          <w:color w:val="000000"/>
          <w:sz w:val="32"/>
        </w:rPr>
        <w:t>Семашко И</w:t>
      </w:r>
      <w:r w:rsidR="00361584">
        <w:rPr>
          <w:rFonts w:ascii="Times New Roman;serif" w:hAnsi="Times New Roman;serif"/>
          <w:color w:val="000000"/>
          <w:sz w:val="32"/>
        </w:rPr>
        <w:t>.</w:t>
      </w:r>
      <w:r>
        <w:rPr>
          <w:rFonts w:ascii="Times New Roman;serif" w:hAnsi="Times New Roman;serif"/>
          <w:color w:val="000000"/>
          <w:sz w:val="32"/>
        </w:rPr>
        <w:t>А</w:t>
      </w:r>
      <w:r w:rsidR="00361584">
        <w:rPr>
          <w:rFonts w:ascii="Times New Roman;serif" w:hAnsi="Times New Roman;serif"/>
          <w:color w:val="000000"/>
          <w:sz w:val="32"/>
        </w:rPr>
        <w:t>.</w:t>
      </w:r>
    </w:p>
    <w:p w14:paraId="7CC8704A" w14:textId="5CF23A90" w:rsidR="00E806E0" w:rsidRDefault="00E806E0">
      <w:pPr>
        <w:pStyle w:val="a4"/>
        <w:spacing w:after="0" w:line="345" w:lineRule="auto"/>
        <w:rPr>
          <w:rFonts w:ascii="Times New Roman;serif" w:hAnsi="Times New Roman;serif"/>
          <w:color w:val="000000"/>
          <w:sz w:val="32"/>
        </w:rPr>
      </w:pPr>
      <w:r>
        <w:rPr>
          <w:rFonts w:ascii="Times New Roman;serif" w:hAnsi="Times New Roman;serif"/>
          <w:color w:val="000000"/>
          <w:sz w:val="32"/>
        </w:rPr>
        <w:t>Сосновский Е.А.</w:t>
      </w:r>
    </w:p>
    <w:p w14:paraId="53BD998D" w14:textId="7B527AA2" w:rsidR="00E806E0" w:rsidRDefault="00E806E0">
      <w:pPr>
        <w:pStyle w:val="a4"/>
        <w:spacing w:after="0" w:line="345" w:lineRule="auto"/>
        <w:rPr>
          <w:rFonts w:ascii="Times New Roman;serif" w:hAnsi="Times New Roman;serif"/>
          <w:color w:val="000000"/>
          <w:sz w:val="32"/>
        </w:rPr>
      </w:pPr>
      <w:r>
        <w:rPr>
          <w:rFonts w:ascii="Times New Roman;serif" w:hAnsi="Times New Roman;serif"/>
          <w:color w:val="000000"/>
          <w:sz w:val="32"/>
        </w:rPr>
        <w:t>Шиманчук А.О.</w:t>
      </w:r>
    </w:p>
    <w:p w14:paraId="2637887F" w14:textId="77777777" w:rsidR="00E806E0" w:rsidRDefault="00E806E0">
      <w:pPr>
        <w:pStyle w:val="a4"/>
        <w:spacing w:after="0" w:line="345" w:lineRule="auto"/>
        <w:rPr>
          <w:rFonts w:cs="Times New Roman"/>
          <w:szCs w:val="28"/>
        </w:rPr>
      </w:pPr>
    </w:p>
    <w:p w14:paraId="05AF73AE" w14:textId="77777777" w:rsidR="00F469C6" w:rsidRDefault="00361584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Проверил:</w:t>
      </w:r>
    </w:p>
    <w:p w14:paraId="36F5A0A5" w14:textId="77777777" w:rsidR="00F469C6" w:rsidRDefault="00361584">
      <w:pPr>
        <w:pStyle w:val="a4"/>
        <w:spacing w:after="0" w:line="345" w:lineRule="auto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Столер Д.В.</w:t>
      </w:r>
    </w:p>
    <w:p w14:paraId="0820A9E5" w14:textId="35B8DB62" w:rsidR="00F469C6" w:rsidRDefault="00F469C6">
      <w:pPr>
        <w:pStyle w:val="a4"/>
        <w:rPr>
          <w:rFonts w:cs="Times New Roman"/>
          <w:szCs w:val="28"/>
        </w:rPr>
      </w:pPr>
    </w:p>
    <w:p w14:paraId="68226266" w14:textId="17919E2E" w:rsidR="00F469C6" w:rsidRDefault="00361584">
      <w:pPr>
        <w:pStyle w:val="a4"/>
        <w:spacing w:after="0" w:line="345" w:lineRule="auto"/>
        <w:jc w:val="center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  <w:sz w:val="32"/>
        </w:rPr>
        <w:t>Минск 2025</w:t>
      </w:r>
    </w:p>
    <w:p w14:paraId="0A25C357" w14:textId="77777777" w:rsidR="00F469C6" w:rsidRDefault="00361584">
      <w:pPr>
        <w:pStyle w:val="a4"/>
        <w:rPr>
          <w:rFonts w:cs="Times New Roman"/>
          <w:szCs w:val="28"/>
        </w:rPr>
      </w:pPr>
      <w:bookmarkStart w:id="1" w:name="docs-internal-guid-db71b202-7fff-ce48-1f"/>
      <w:bookmarkEnd w:id="1"/>
      <w:r>
        <w:rPr>
          <w:rFonts w:ascii="Times New Roman;serif" w:hAnsi="Times New Roman;serif" w:cs="Times New Roman"/>
          <w:b/>
          <w:color w:val="000000"/>
          <w:szCs w:val="28"/>
        </w:rPr>
        <w:lastRenderedPageBreak/>
        <w:t>Цель занятия:</w:t>
      </w:r>
      <w:r>
        <w:rPr>
          <w:rFonts w:cs="Times New Roman"/>
          <w:color w:val="000000"/>
          <w:szCs w:val="28"/>
        </w:rPr>
        <w:t xml:space="preserve"> </w:t>
      </w:r>
      <w:r>
        <w:rPr>
          <w:rFonts w:ascii="Times New Roman;serif" w:hAnsi="Times New Roman;serif" w:cs="Times New Roman"/>
          <w:color w:val="000000"/>
          <w:szCs w:val="28"/>
        </w:rPr>
        <w:t>ознакомиться с процедурами выплаты лицензионных отчислений; получить практические навыки расчета роялти.</w:t>
      </w:r>
    </w:p>
    <w:p w14:paraId="65C3A3BD" w14:textId="77777777" w:rsidR="00F469C6" w:rsidRDefault="00F469C6">
      <w:pPr>
        <w:pStyle w:val="a4"/>
        <w:rPr>
          <w:rFonts w:cs="Times New Roman"/>
          <w:szCs w:val="28"/>
        </w:rPr>
      </w:pPr>
    </w:p>
    <w:p w14:paraId="1D6D8046" w14:textId="77777777" w:rsidR="00F469C6" w:rsidRDefault="00361584">
      <w:pPr>
        <w:pStyle w:val="a4"/>
        <w:spacing w:after="0" w:line="288" w:lineRule="auto"/>
        <w:ind w:firstLine="709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</w:rPr>
        <w:t>Результаты выполнения практического задания.</w:t>
      </w:r>
    </w:p>
    <w:p w14:paraId="0CDEC584" w14:textId="77777777" w:rsidR="00F469C6" w:rsidRDefault="00361584">
      <w:pPr>
        <w:pStyle w:val="a4"/>
        <w:spacing w:after="0" w:line="288" w:lineRule="auto"/>
        <w:ind w:firstLine="709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</w:rPr>
        <w:t>2.1. Что является основной формой приобретения права на использования объекта промышленной собственности, чтобы внедрить в его в производство?</w:t>
      </w:r>
    </w:p>
    <w:p w14:paraId="594C0263" w14:textId="77777777" w:rsidR="00F469C6" w:rsidRDefault="00361584">
      <w:pPr>
        <w:pStyle w:val="a4"/>
        <w:spacing w:after="0" w:line="288" w:lineRule="auto"/>
        <w:ind w:firstLine="709"/>
        <w:rPr>
          <w:rFonts w:cs="Times New Roman"/>
          <w:szCs w:val="28"/>
        </w:rPr>
      </w:pPr>
      <w:r>
        <w:rPr>
          <w:rFonts w:ascii="Times New Roman;serif" w:hAnsi="Times New Roman;serif"/>
          <w:color w:val="000000"/>
        </w:rPr>
        <w:t>Ответ: </w:t>
      </w:r>
      <w:r>
        <w:rPr>
          <w:rFonts w:cs="Times New Roman"/>
          <w:szCs w:val="28"/>
        </w:rPr>
        <w:t xml:space="preserve">Основной формой приобретения права на использование объекта промышленной собственности (ОПС) является лицензионное соглашение. Лицензионное соглашение предоставляет право на использование ОПС, которое может включать право на производство, продажу и распространение продукции, содержащей ОПС. </w:t>
      </w:r>
    </w:p>
    <w:p w14:paraId="54047AF6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рамках лицензионного соглашения правообладатель ОПС (лицензиар) предоставляет право на использование ОПС другой компании (лицензиату) на определенных условиях, таких как срок действия, территория, размер вознаграждения и т.д. Лицензиат, в свою очередь, обязуется выполнять условия соглашения и выплачивать вознаграждение лицензиару.</w:t>
      </w:r>
    </w:p>
    <w:p w14:paraId="4AEE17E4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Кроме того, существуют и другие формы приобретения прав на использование ОПС, такие как франчайзинг, </w:t>
      </w:r>
      <w:proofErr w:type="spellStart"/>
      <w:r>
        <w:rPr>
          <w:rFonts w:cs="Times New Roman"/>
          <w:szCs w:val="28"/>
        </w:rPr>
        <w:t>сублицензирование</w:t>
      </w:r>
      <w:proofErr w:type="spellEnd"/>
      <w:r>
        <w:rPr>
          <w:rFonts w:cs="Times New Roman"/>
          <w:szCs w:val="28"/>
        </w:rPr>
        <w:t>, приобретение прав на ОПС через покупку или аренду, но лицензионное соглашение является наиболее распространенной и удобной формой для подобных сделок.</w:t>
      </w:r>
    </w:p>
    <w:p w14:paraId="2B176E94" w14:textId="77777777" w:rsidR="00F469C6" w:rsidRDefault="00361584">
      <w:pPr>
        <w:pStyle w:val="a4"/>
        <w:ind w:firstLine="708"/>
        <w:rPr>
          <w:rFonts w:ascii="Times New Roman;serif" w:hAnsi="Times New Roman;serif"/>
          <w:color w:val="000000"/>
        </w:rPr>
      </w:pPr>
      <w:bookmarkStart w:id="2" w:name="docs-internal-guid-aec10b88-7fff-472d-f9"/>
      <w:bookmarkEnd w:id="2"/>
      <w:r>
        <w:rPr>
          <w:rFonts w:ascii="Times New Roman;serif" w:hAnsi="Times New Roman;serif"/>
          <w:color w:val="000000"/>
        </w:rPr>
        <w:t>2.2. Укажите факторы, влияющие на размер вознаграждения (стоимость лицензии) за право пользования объектом промышленной собственности (ОПС), и основные методы его расчета.</w:t>
      </w:r>
    </w:p>
    <w:p w14:paraId="3CF9FB0F" w14:textId="77777777" w:rsidR="00F469C6" w:rsidRDefault="00361584">
      <w:pPr>
        <w:pStyle w:val="a4"/>
        <w:spacing w:after="0" w:line="288" w:lineRule="auto"/>
        <w:ind w:firstLine="709"/>
      </w:pPr>
      <w:r>
        <w:rPr>
          <w:rFonts w:ascii="Times New Roman;serif" w:hAnsi="Times New Roman;serif"/>
          <w:color w:val="000000"/>
        </w:rPr>
        <w:t xml:space="preserve">Ответ: </w:t>
      </w:r>
      <w:r>
        <w:rPr>
          <w:rFonts w:cs="Times New Roman"/>
          <w:szCs w:val="28"/>
        </w:rPr>
        <w:t>Размер вознаграждения (стоимость лицензии) за право пользования объектом промышленной собственности (ОПС) зависит от многих факторов, включая:</w:t>
      </w:r>
    </w:p>
    <w:p w14:paraId="5D213960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Уникальность и инновационность ОПС;</w:t>
      </w:r>
    </w:p>
    <w:p w14:paraId="5EA30A4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Потенциальная прибыль, которую может принести ОПС;</w:t>
      </w:r>
    </w:p>
    <w:p w14:paraId="2FCEA0BC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3. Размер и длительность лицензионного соглашения;</w:t>
      </w:r>
    </w:p>
    <w:p w14:paraId="24F91CB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4. Рыночная конкуренция и спрос на продукцию, производимую с использованием ОПС;</w:t>
      </w:r>
    </w:p>
    <w:p w14:paraId="03CEAEB0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5. Риски, связанные с коммерциализацией ОПС и производством продукции;</w:t>
      </w:r>
    </w:p>
    <w:p w14:paraId="2B10372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6. Характер и условия платежа:</w:t>
      </w:r>
    </w:p>
    <w:p w14:paraId="281FD8BD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6.1 Паушальный;</w:t>
      </w:r>
    </w:p>
    <w:p w14:paraId="68CA85C7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6.2 В форме роялти;</w:t>
      </w:r>
    </w:p>
    <w:p w14:paraId="3C7B093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6.3 Комбинированные платежи.</w:t>
      </w:r>
    </w:p>
    <w:p w14:paraId="571C9E33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Основные методы расчета стоимости лицензии на ОПС:</w:t>
      </w:r>
    </w:p>
    <w:p w14:paraId="7FEDFEF6" w14:textId="77777777" w:rsidR="00F469C6" w:rsidRDefault="00F469C6">
      <w:pPr>
        <w:ind w:firstLine="708"/>
        <w:rPr>
          <w:rFonts w:cs="Times New Roman"/>
          <w:szCs w:val="28"/>
        </w:rPr>
      </w:pPr>
    </w:p>
    <w:p w14:paraId="685B2DE8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Метод "доходности" - основан на потенциальной прибыли, которую может принести ОПС. Размер вознаграждения определяется как процент от прибыли, полученной от продаж продукции, произведенной с использованием ОПС.</w:t>
      </w:r>
    </w:p>
    <w:p w14:paraId="0CFD17F1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Метод "расходов" - основан на затратах на создание и разработку ОПС. Размер вознаграждения определяется как процент от затрат на создание ОПС.</w:t>
      </w:r>
    </w:p>
    <w:p w14:paraId="648C3949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3. Метод "сравнения" - основан на сравнении ставок роялти в аналогичных отраслях и компаниях. Размер вознаграждения определяется на основе ставок роялти, применяемых в аналогичных условиях.</w:t>
      </w:r>
    </w:p>
    <w:p w14:paraId="727EA35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Кроме того, для оценки стоимости лицензии на ОПС могут применяться и другие методы оценки, такие как методы, основанные на оценке потенциальной рыночной стоимости ОПС, методы, основанные на оценке стоимости производства продукции с использованием ОПС, и др.</w:t>
      </w:r>
    </w:p>
    <w:p w14:paraId="7F4C8004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Наконец, важно отметить, что размер вознаграждения за право пользования ОПС должен быть оправдан и соответствовать рыночным условиям и условиям соглашения между сторонами.</w:t>
      </w:r>
    </w:p>
    <w:p w14:paraId="34D803C7" w14:textId="77777777" w:rsidR="00F469C6" w:rsidRDefault="00361584">
      <w:pPr>
        <w:pStyle w:val="a4"/>
        <w:ind w:firstLine="708"/>
        <w:rPr>
          <w:rFonts w:ascii="Times New Roman;serif" w:hAnsi="Times New Roman;serif"/>
          <w:color w:val="000000"/>
        </w:rPr>
      </w:pPr>
      <w:bookmarkStart w:id="3" w:name="docs-internal-guid-12d8910f-7fff-a01e-06"/>
      <w:bookmarkEnd w:id="3"/>
      <w:r>
        <w:rPr>
          <w:rFonts w:ascii="Times New Roman;serif" w:hAnsi="Times New Roman;serif"/>
          <w:color w:val="000000"/>
        </w:rPr>
        <w:t>2.3. На основании каких факторов (показателей) формируется размер вознаграждения за право пользования объектом промышленной собственности (ОПС), выплата которого осуществляется в форме роялти (периодических выплат). Приведите формулу расчета стоимости лицензии исходя из стоимости продукции, произведенной с использованием научной разработки (ОПС).</w:t>
      </w:r>
    </w:p>
    <w:p w14:paraId="4641B876" w14:textId="77777777" w:rsidR="000159A4" w:rsidRDefault="00361584">
      <w:pPr>
        <w:pStyle w:val="a4"/>
        <w:spacing w:after="0" w:line="288" w:lineRule="auto"/>
        <w:ind w:firstLine="709"/>
        <w:rPr>
          <w:rFonts w:ascii="Times New Roman;serif" w:hAnsi="Times New Roman;serif"/>
          <w:color w:val="000000"/>
        </w:rPr>
      </w:pPr>
      <w:r>
        <w:rPr>
          <w:rFonts w:ascii="Times New Roman;serif" w:hAnsi="Times New Roman;serif"/>
          <w:color w:val="000000"/>
        </w:rPr>
        <w:t xml:space="preserve">Ответ: </w:t>
      </w:r>
    </w:p>
    <w:p w14:paraId="743FAD28" w14:textId="143B4166" w:rsidR="000159A4" w:rsidRDefault="000159A4" w:rsidP="000159A4">
      <w:pPr>
        <w:pStyle w:val="a4"/>
        <w:spacing w:after="0" w:line="288" w:lineRule="auto"/>
        <w:rPr>
          <w:rFonts w:ascii="Times New Roman;serif" w:hAnsi="Times New Roman;serif"/>
          <w:color w:val="000000"/>
        </w:rPr>
      </w:pPr>
      <w:r w:rsidRPr="000159A4">
        <w:rPr>
          <w:rFonts w:ascii="Times New Roman;serif" w:hAnsi="Times New Roman;serif"/>
          <w:color w:val="000000"/>
        </w:rPr>
        <w:drawing>
          <wp:inline distT="0" distB="0" distL="0" distR="0" wp14:anchorId="4048920A" wp14:editId="6F8B3DD4">
            <wp:extent cx="5940425" cy="908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096A" w14:textId="77777777" w:rsidR="000159A4" w:rsidRDefault="000159A4" w:rsidP="000159A4">
      <w:pPr>
        <w:pStyle w:val="a4"/>
        <w:spacing w:after="0" w:line="288" w:lineRule="auto"/>
        <w:ind w:firstLine="709"/>
        <w:rPr>
          <w:rFonts w:cs="Times New Roman"/>
          <w:szCs w:val="28"/>
        </w:rPr>
      </w:pPr>
    </w:p>
    <w:p w14:paraId="606B850F" w14:textId="1E01FB41" w:rsidR="000159A4" w:rsidRDefault="000159A4" w:rsidP="000159A4">
      <w:pPr>
        <w:pStyle w:val="a4"/>
        <w:spacing w:after="0" w:line="288" w:lineRule="auto"/>
        <w:rPr>
          <w:rFonts w:cs="Times New Roman"/>
          <w:szCs w:val="28"/>
        </w:rPr>
      </w:pPr>
      <w:r w:rsidRPr="000159A4">
        <w:rPr>
          <w:rFonts w:cs="Times New Roman"/>
          <w:szCs w:val="28"/>
        </w:rPr>
        <w:lastRenderedPageBreak/>
        <w:drawing>
          <wp:inline distT="0" distB="0" distL="0" distR="0" wp14:anchorId="4D10AA34" wp14:editId="7081D549">
            <wp:extent cx="5940425" cy="21653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2C6D" w14:textId="77777777" w:rsidR="000159A4" w:rsidRDefault="000159A4" w:rsidP="000159A4">
      <w:pPr>
        <w:pStyle w:val="a4"/>
        <w:spacing w:after="0" w:line="288" w:lineRule="auto"/>
        <w:ind w:firstLine="709"/>
        <w:rPr>
          <w:rFonts w:cs="Times New Roman"/>
          <w:szCs w:val="28"/>
        </w:rPr>
      </w:pPr>
    </w:p>
    <w:p w14:paraId="469F5AE5" w14:textId="17DC7BC0" w:rsidR="000159A4" w:rsidRPr="000159A4" w:rsidRDefault="00361584" w:rsidP="000159A4">
      <w:pPr>
        <w:pStyle w:val="a4"/>
        <w:spacing w:after="0" w:line="288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Размер вознаграждения за право пользования объектом промышленной собственности (ОПС) в форме роялти определяется на основе множества факторов. Некоторые из них включают:</w:t>
      </w:r>
    </w:p>
    <w:p w14:paraId="027BD195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Важность и уникальность ОПС;</w:t>
      </w:r>
    </w:p>
    <w:p w14:paraId="6323EA90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Объем продаж и рыночная доля продукции, произведенной с использованием ОПС;</w:t>
      </w:r>
    </w:p>
    <w:p w14:paraId="73EA814F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3. Срок действия исключительных прав на ОПС;</w:t>
      </w:r>
    </w:p>
    <w:p w14:paraId="066FB33B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4. Степень риска, связанная с коммерциализацией ОПС;</w:t>
      </w:r>
    </w:p>
    <w:p w14:paraId="063B97E8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5. Затраты на разработку и поддержание ОПС;</w:t>
      </w:r>
    </w:p>
    <w:p w14:paraId="373F5EF9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6. Уровень конкуренции на рынке;</w:t>
      </w:r>
    </w:p>
    <w:p w14:paraId="152B391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7. Опыт и репутация сторон, заключающих лицензионное соглашение;</w:t>
      </w:r>
    </w:p>
    <w:p w14:paraId="36392D60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8. Ставка роялти.</w:t>
      </w:r>
    </w:p>
    <w:p w14:paraId="4A8E7A71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Формула расчета стоимости лицензии, исходя из стоимости продукции, произведенной с использованием научной разработки (ОПС), может быть представлена следующим образом:</w:t>
      </w:r>
    </w:p>
    <w:p w14:paraId="56FC0E3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Стоимость лицензии = (Объем продаж продукции × Стоимость продукции × Процент роялти) + Фиксированные платежи</w:t>
      </w:r>
    </w:p>
    <w:p w14:paraId="1EBAA45C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где:</w:t>
      </w:r>
    </w:p>
    <w:p w14:paraId="7940165D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Объем продаж продукции - количество проданных единиц продукции, произведенной с использованием ОПС.</w:t>
      </w:r>
    </w:p>
    <w:p w14:paraId="2AA6EFC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Стоимость продукции - стоимость одной единицы продукции.</w:t>
      </w:r>
    </w:p>
    <w:p w14:paraId="6149D18D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Процент роялти - процент от стоимости продукции, который должен быть выплачен в качестве роялти за использование ОПС.</w:t>
      </w:r>
    </w:p>
    <w:p w14:paraId="67F8FEC3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 Фиксированные платежи - сумма фиксированных платежей, которые должны быть выплачены в рамках лицензионного соглашения, независимо от объема продаж.</w:t>
      </w:r>
    </w:p>
    <w:p w14:paraId="5652784C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Процент роялти определяется сторонами на основе перечисленных выше факторов и может быть разным для различных ОПС или отраслей. Обычно процент роялти составляет от 1% до 10% от стоимости продукции, но в некоторых случаях может быть выше или ниже этого диапазона.</w:t>
      </w:r>
    </w:p>
    <w:p w14:paraId="34DDE64F" w14:textId="77777777" w:rsidR="00F469C6" w:rsidRDefault="00F469C6">
      <w:pPr>
        <w:ind w:firstLine="708"/>
        <w:rPr>
          <w:rFonts w:cs="Times New Roman"/>
          <w:szCs w:val="28"/>
        </w:rPr>
      </w:pPr>
      <w:bookmarkStart w:id="4" w:name="docs-internal-guid-7eb7b00f-7fff-e75a-c0"/>
      <w:bookmarkEnd w:id="4"/>
    </w:p>
    <w:p w14:paraId="3FD9315A" w14:textId="77777777" w:rsidR="00F469C6" w:rsidRDefault="00361584">
      <w:pPr>
        <w:pStyle w:val="a4"/>
        <w:spacing w:after="0" w:line="288" w:lineRule="auto"/>
        <w:ind w:firstLine="709"/>
        <w:rPr>
          <w:rFonts w:ascii="Times New Roman;serif" w:hAnsi="Times New Roman;serif"/>
          <w:color w:val="000000"/>
        </w:rPr>
      </w:pPr>
      <w:r>
        <w:rPr>
          <w:rFonts w:ascii="Times New Roman;serif" w:hAnsi="Times New Roman;serif"/>
          <w:color w:val="000000"/>
        </w:rPr>
        <w:t>2.4. Как можно определить ставку роялти?</w:t>
      </w:r>
    </w:p>
    <w:p w14:paraId="0A471C92" w14:textId="77777777" w:rsidR="00F469C6" w:rsidRDefault="00361584">
      <w:pPr>
        <w:pStyle w:val="a4"/>
        <w:spacing w:after="0" w:line="288" w:lineRule="auto"/>
        <w:ind w:firstLine="709"/>
      </w:pPr>
      <w:r>
        <w:rPr>
          <w:rFonts w:ascii="Times New Roman;serif" w:hAnsi="Times New Roman;serif"/>
          <w:color w:val="000000"/>
        </w:rPr>
        <w:t xml:space="preserve">Ответ: </w:t>
      </w:r>
      <w:r>
        <w:rPr>
          <w:rFonts w:cs="Times New Roman"/>
          <w:szCs w:val="28"/>
        </w:rPr>
        <w:t>Определение ставки роялти зависит от многих факторов, включая индустрию, конкурентную ситуацию на рынке, уникальность ОПС и др. Вот несколько способов определения ставки роялти:</w:t>
      </w:r>
    </w:p>
    <w:p w14:paraId="651FBC77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Сравнительный анализ: можно провести анализ рынка и сравнить ставки роялти, применяемые в аналогичных отраслях и компаниях. Этот подход может помочь определить диапазон разумных ставок роялти.</w:t>
      </w:r>
    </w:p>
    <w:p w14:paraId="0D8E209D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Оценка потенциальной прибыли: можно оценить ожидаемую прибыль, которую может принести ОПС, и определить процент от продаж, который будет выплачиваться в виде роялти. Например, если ожидается, что продажи продукции, произведенной с использованием ОПС, составят 10 млн. долларов США, а прибыль от продажи этой продукции составит 2 млн. долларов США, то ставка роялти 5% может казаться разумной.</w:t>
      </w:r>
    </w:p>
    <w:p w14:paraId="2085D26C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3. Учет затрат: можно определить, какую долю затрат на производство продукции составляет ОПС, и определить ставку роялти, которая покрывает эти затраты. Например, если затраты на ОПС составляют 5% от общих затрат на производство продукции, то ставка роялти 5% может быть оправдана.</w:t>
      </w:r>
    </w:p>
    <w:p w14:paraId="48E6333B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4. Безусловная ставка: иногда ставка роялти может быть установлена на основе соглашения между сторонами, без проведения подробного анализа рынка или оценки потенциальной прибыли. Это может быть полезным, если стороны доверяют друг другу и/или ранее имели успешный опыт работы вместе.</w:t>
      </w:r>
    </w:p>
    <w:p w14:paraId="4248288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любом случае, ставка роялти должна быть оправдана и соответствовать рыночным условиям и условиям соглашения между сторонами.</w:t>
      </w:r>
    </w:p>
    <w:p w14:paraId="65480242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Расчет ставки роялти:</w:t>
      </w:r>
    </w:p>
    <w:p w14:paraId="168B8CCC" w14:textId="77777777" w:rsidR="00F469C6" w:rsidRDefault="00361584">
      <w:pPr>
        <w:ind w:firstLine="708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*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>/(1+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>)</w:t>
      </w:r>
    </w:p>
    <w:p w14:paraId="02A53A64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Здесь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 – норма рентабельности продукции, 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 xml:space="preserve"> – доля лицензиара в прибыли лицензиата.</w:t>
      </w:r>
    </w:p>
    <w:p w14:paraId="17BDBE5C" w14:textId="77777777" w:rsidR="00F469C6" w:rsidRDefault="00361584">
      <w:pPr>
        <w:pStyle w:val="a4"/>
        <w:ind w:firstLine="708"/>
        <w:rPr>
          <w:b/>
        </w:rPr>
      </w:pPr>
      <w:bookmarkStart w:id="5" w:name="docs-internal-guid-1a231425-7fff-abb6-43"/>
      <w:bookmarkEnd w:id="5"/>
      <w:r>
        <w:rPr>
          <w:rFonts w:ascii="Times New Roman;serif" w:hAnsi="Times New Roman;serif" w:cs="Times New Roman"/>
          <w:color w:val="000000"/>
          <w:szCs w:val="28"/>
        </w:rPr>
        <w:t>2.5. В чем отличие при определении размера вознаграждения, выплачиваемого в форме роялти, от размера вознаграждения, выплачиваемого паушальным платежом?</w:t>
      </w:r>
    </w:p>
    <w:p w14:paraId="653C9375" w14:textId="77777777" w:rsidR="00F469C6" w:rsidRDefault="00361584">
      <w:pPr>
        <w:pStyle w:val="a4"/>
        <w:spacing w:after="0" w:line="288" w:lineRule="auto"/>
        <w:ind w:firstLine="709"/>
        <w:rPr>
          <w:b/>
        </w:rPr>
      </w:pPr>
      <w:proofErr w:type="gramStart"/>
      <w:r>
        <w:rPr>
          <w:rFonts w:ascii="Times New Roman;serif" w:hAnsi="Times New Roman;serif"/>
          <w:color w:val="000000"/>
        </w:rPr>
        <w:t xml:space="preserve">Ответ:  </w:t>
      </w:r>
      <w:r>
        <w:rPr>
          <w:rFonts w:cs="Times New Roman"/>
          <w:szCs w:val="28"/>
        </w:rPr>
        <w:t>Роялти</w:t>
      </w:r>
      <w:proofErr w:type="gramEnd"/>
      <w:r>
        <w:rPr>
          <w:rFonts w:cs="Times New Roman"/>
          <w:szCs w:val="28"/>
        </w:rPr>
        <w:t xml:space="preserve"> и Паушальный платеж отличаются тем, что роялти - это платеж, устанавливаемый в формате процента от продаж продукта или услуги, и он выплачивается периодически. Он зависит от продаж продукта.</w:t>
      </w:r>
    </w:p>
    <w:p w14:paraId="5FF1DDA6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Паушальный платеж </w:t>
      </w:r>
      <w:proofErr w:type="gramStart"/>
      <w:r>
        <w:rPr>
          <w:rFonts w:cs="Times New Roman"/>
          <w:szCs w:val="28"/>
        </w:rPr>
        <w:t>- это</w:t>
      </w:r>
      <w:proofErr w:type="gramEnd"/>
      <w:r>
        <w:rPr>
          <w:rFonts w:cs="Times New Roman"/>
          <w:szCs w:val="28"/>
        </w:rPr>
        <w:t xml:space="preserve"> фиксированная сумма. Он уплачивается единожды, и не зависит от продаж.</w:t>
      </w:r>
    </w:p>
    <w:p w14:paraId="5CD10398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результате сумма оплаты паушального платежа меньше, чем оплаты по роялти.</w:t>
      </w:r>
    </w:p>
    <w:p w14:paraId="5983B356" w14:textId="77777777" w:rsidR="00F469C6" w:rsidRDefault="00361584">
      <w:pPr>
        <w:pStyle w:val="a4"/>
        <w:ind w:firstLine="708"/>
        <w:rPr>
          <w:rFonts w:cs="Times New Roman"/>
          <w:b/>
          <w:szCs w:val="28"/>
        </w:rPr>
      </w:pPr>
      <w:bookmarkStart w:id="6" w:name="docs-internal-guid-0f725004-7fff-efd7-5c"/>
      <w:bookmarkEnd w:id="6"/>
      <w:r>
        <w:rPr>
          <w:rFonts w:ascii="Times New Roman;serif" w:hAnsi="Times New Roman;serif"/>
          <w:color w:val="000000"/>
        </w:rPr>
        <w:t>2.6. Указать порядок определения стоимости лицензии при применении в лицензионном договоре комбинированной формы ее оплаты.</w:t>
      </w:r>
    </w:p>
    <w:p w14:paraId="2C83D145" w14:textId="77777777" w:rsidR="00F469C6" w:rsidRDefault="00361584">
      <w:pPr>
        <w:pStyle w:val="a4"/>
        <w:spacing w:after="0" w:line="288" w:lineRule="auto"/>
        <w:ind w:firstLine="709"/>
        <w:rPr>
          <w:rFonts w:cs="Times New Roman"/>
          <w:b/>
          <w:szCs w:val="28"/>
        </w:rPr>
      </w:pPr>
      <w:proofErr w:type="gramStart"/>
      <w:r>
        <w:rPr>
          <w:rFonts w:ascii="Times New Roman;serif" w:hAnsi="Times New Roman;serif"/>
          <w:color w:val="000000"/>
        </w:rPr>
        <w:t xml:space="preserve">Ответ:  </w:t>
      </w:r>
      <w:r>
        <w:rPr>
          <w:rFonts w:cs="Times New Roman"/>
          <w:szCs w:val="28"/>
        </w:rPr>
        <w:t>Порядок</w:t>
      </w:r>
      <w:proofErr w:type="gramEnd"/>
      <w:r>
        <w:rPr>
          <w:rFonts w:cs="Times New Roman"/>
          <w:szCs w:val="28"/>
        </w:rPr>
        <w:t xml:space="preserve"> определения стоимости лицензии варьируется в зависимости от условий договора, однако, как правило он таков:</w:t>
      </w:r>
    </w:p>
    <w:p w14:paraId="5800148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Определение базовой стоимости лицензии;</w:t>
      </w:r>
    </w:p>
    <w:p w14:paraId="1620CF1F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Установление размера роялти;</w:t>
      </w:r>
    </w:p>
    <w:p w14:paraId="03B69BB4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3. Установление минимальной суммы роялти - суммы, которая должна быть выплачена в любом случае;</w:t>
      </w:r>
    </w:p>
    <w:p w14:paraId="0F7FE7CA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4. Установление размера паушального платежа;</w:t>
      </w:r>
    </w:p>
    <w:p w14:paraId="38EBE7FB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5. Установление суммы первоначального платежа;</w:t>
      </w:r>
    </w:p>
    <w:p w14:paraId="4D2F597B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6. Установление дополнительных платежей;</w:t>
      </w:r>
    </w:p>
    <w:p w14:paraId="2C88A099" w14:textId="77777777" w:rsidR="00F469C6" w:rsidRDefault="0036158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7. Определение условий оплаты;</w:t>
      </w:r>
    </w:p>
    <w:p w14:paraId="1085CA0D" w14:textId="77777777" w:rsidR="00F469C6" w:rsidRDefault="00361584">
      <w:pPr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8. Установление санкций</w:t>
      </w:r>
      <w:r>
        <w:rPr>
          <w:rFonts w:cs="Times New Roman"/>
          <w:szCs w:val="28"/>
          <w:lang w:val="en-US"/>
        </w:rPr>
        <w:t>.</w:t>
      </w:r>
    </w:p>
    <w:p w14:paraId="77A51E99" w14:textId="77777777" w:rsidR="00F469C6" w:rsidRDefault="00F469C6">
      <w:pPr>
        <w:rPr>
          <w:rFonts w:cs="Times New Roman"/>
          <w:szCs w:val="28"/>
        </w:rPr>
      </w:pPr>
    </w:p>
    <w:sectPr w:rsidR="00F469C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6"/>
    <w:rsid w:val="000159A4"/>
    <w:rsid w:val="00361584"/>
    <w:rsid w:val="005C4838"/>
    <w:rsid w:val="00E806E0"/>
    <w:rsid w:val="00F4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514E"/>
  <w15:docId w15:val="{1B799DF1-BC7D-46DB-9F2D-27D5FD82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5AF"/>
    <w:pPr>
      <w:spacing w:after="160" w:line="259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66A3E"/>
    <w:pPr>
      <w:spacing w:line="480" w:lineRule="auto"/>
      <w:ind w:firstLine="708"/>
      <w:outlineLvl w:val="0"/>
    </w:pPr>
    <w:rPr>
      <w:rFonts w:cs="Times New Roman"/>
      <w:b/>
      <w:cap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66A3E"/>
    <w:rPr>
      <w:rFonts w:ascii="Times New Roman" w:hAnsi="Times New Roman" w:cs="Times New Roman"/>
      <w:b/>
      <w:caps/>
      <w:sz w:val="28"/>
      <w:szCs w:val="28"/>
    </w:rPr>
  </w:style>
  <w:style w:type="character" w:customStyle="1" w:styleId="markedcontent">
    <w:name w:val="markedcontent"/>
    <w:basedOn w:val="a0"/>
    <w:qFormat/>
    <w:rsid w:val="008469B5"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table" w:styleId="a8">
    <w:name w:val="Table Grid"/>
    <w:basedOn w:val="a1"/>
    <w:uiPriority w:val="39"/>
    <w:rsid w:val="003C6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1194</Words>
  <Characters>6807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Messor</dc:creator>
  <dc:description/>
  <cp:lastModifiedBy>Александр</cp:lastModifiedBy>
  <cp:revision>22</cp:revision>
  <dcterms:created xsi:type="dcterms:W3CDTF">2023-03-02T10:38:00Z</dcterms:created>
  <dcterms:modified xsi:type="dcterms:W3CDTF">2025-05-02T07:54:00Z</dcterms:modified>
  <dc:language>en-US</dc:language>
</cp:coreProperties>
</file>