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bidi/>
        <w:jc w:val="right"/>
      </w:pPr>
      <w:r>
        <w:rPr>
          <w:rFonts w:ascii="Arial" w:hAnsi="Arial"/>
          <w:b/>
          <w:color w:val="1F3A6E"/>
          <w:sz w:val="48"/>
          <w:rtl/>
          <w:cs w:val="1"/>
          <w:rFonts w:cs="Arial"/>
        </w:rPr>
        <w:t>ניתוח אמינות</w:t>
      </w:r>
    </w:p>
    <w:p>
      <w:pPr>
        <w:bidi/>
        <w:jc w:val="right"/>
      </w:pPr>
      <w:r>
        <w:rPr>
          <w:rFonts w:ascii="Arial" w:hAnsi="Arial"/>
          <w:b w:val="0"/>
          <w:sz w:val="32"/>
          <w:rtl/>
          <w:cs w:val="1"/>
          <w:rFonts w:cs="Arial"/>
        </w:rPr>
        <w:t>לפי MIL-STD-217F Notice 2</w:t>
      </w:r>
    </w:p>
    <w:p/>
    <w:p>
      <w:pPr>
        <w:bidi/>
        <w:jc w:val="right"/>
      </w:pPr>
      <w:r>
        <w:rPr>
          <w:rFonts w:ascii="Arial" w:hAnsi="Arial"/>
          <w:b/>
          <w:sz w:val="26"/>
          <w:rtl/>
          <w:cs w:val="1"/>
          <w:rFonts w:cs="Arial"/>
        </w:rPr>
        <w:t xml:space="preserve">פרויקט: </w:t>
      </w:r>
    </w:p>
    <w:p>
      <w:pPr>
        <w:bidi/>
        <w:jc w:val="right"/>
      </w:pPr>
      <w:r>
        <w:rPr>
          <w:rFonts w:ascii="Arial" w:hAnsi="Arial"/>
          <w:b w:val="0"/>
          <w:sz w:val="24"/>
          <w:rtl/>
          <w:cs w:val="1"/>
          <w:rFonts w:cs="Arial"/>
        </w:rPr>
        <w:t>מספר מסמך: REL-001</w:t>
      </w:r>
    </w:p>
    <w:p>
      <w:pPr>
        <w:bidi/>
        <w:jc w:val="right"/>
      </w:pPr>
      <w:r>
        <w:rPr>
          <w:rFonts w:ascii="Arial" w:hAnsi="Arial"/>
          <w:b w:val="0"/>
          <w:sz w:val="24"/>
          <w:rtl/>
          <w:cs w:val="1"/>
          <w:rFonts w:cs="Arial"/>
        </w:rPr>
        <w:t xml:space="preserve">הוכן על ידי: </w:t>
      </w:r>
    </w:p>
    <w:p>
      <w:pPr>
        <w:bidi/>
        <w:jc w:val="right"/>
      </w:pPr>
      <w:r>
        <w:rPr>
          <w:rFonts w:ascii="Arial" w:hAnsi="Arial"/>
          <w:b w:val="0"/>
          <w:sz w:val="24"/>
          <w:rtl/>
          <w:cs w:val="1"/>
          <w:rFonts w:cs="Arial"/>
        </w:rPr>
        <w:t>גרסה: A</w:t>
      </w:r>
    </w:p>
    <w:p>
      <w:pPr>
        <w:bidi/>
        <w:jc w:val="right"/>
      </w:pPr>
      <w:r>
        <w:rPr>
          <w:rFonts w:ascii="Arial" w:hAnsi="Arial"/>
          <w:b w:val="0"/>
          <w:sz w:val="24"/>
          <w:rtl/>
          <w:cs w:val="1"/>
          <w:rFonts w:cs="Arial"/>
        </w:rPr>
        <w:t>תאריך: 18/06/2026</w:t>
      </w:r>
    </w:p>
    <w:p>
      <w:r>
        <w:br w:type="page"/>
      </w:r>
    </w:p>
    <w:p>
      <w:pPr>
        <w:pStyle w:val="Heading1"/>
        <w:bidi/>
        <w:jc w:val="right"/>
      </w:pPr>
      <w:r>
        <w:rPr>
          <w:rFonts w:ascii="Arial" w:hAnsi="Arial"/>
          <w:color w:val="1F3A6E"/>
          <w:sz w:val="28"/>
          <w:rtl/>
          <w:cs w:val="1"/>
        </w:rPr>
        <w:t>0  תוכן עניינים</w:t>
      </w:r>
    </w:p>
    <w:p>
      <w:pPr>
        <w:bidi/>
        <w:jc w:val="right"/>
      </w:pPr>
      <w:r>
        <w:rPr>
          <w:rFonts w:ascii="Arial" w:hAnsi="Arial"/>
          <w:sz w:val="22"/>
          <w:rtl/>
          <w:cs w:val="1"/>
        </w:rPr>
        <w:t>סעיף 1  –  מבוא</w:t>
      </w:r>
    </w:p>
    <w:p>
      <w:pPr>
        <w:bidi/>
        <w:jc w:val="right"/>
      </w:pPr>
      <w:r>
        <w:rPr>
          <w:rFonts w:ascii="Arial" w:hAnsi="Arial"/>
          <w:sz w:val="22"/>
          <w:rtl/>
          <w:cs w:val="1"/>
        </w:rPr>
        <w:t>סעיף 2  –  שיטת החישוב</w:t>
      </w:r>
    </w:p>
    <w:p>
      <w:pPr>
        <w:bidi/>
        <w:jc w:val="right"/>
      </w:pPr>
      <w:r>
        <w:rPr>
          <w:rFonts w:ascii="Arial" w:hAnsi="Arial"/>
          <w:sz w:val="22"/>
          <w:rtl/>
          <w:cs w:val="1"/>
        </w:rPr>
        <w:t>סעיף 3  –  הנחות וגבולות</w:t>
      </w:r>
    </w:p>
    <w:p>
      <w:pPr>
        <w:bidi/>
        <w:jc w:val="right"/>
      </w:pPr>
      <w:r>
        <w:rPr>
          <w:rFonts w:ascii="Arial" w:hAnsi="Arial"/>
          <w:sz w:val="22"/>
          <w:rtl/>
          <w:cs w:val="1"/>
        </w:rPr>
        <w:t>סעיף 4  –  סימוכין ותקנים</w:t>
      </w:r>
    </w:p>
    <w:p>
      <w:pPr>
        <w:bidi/>
        <w:jc w:val="right"/>
      </w:pPr>
      <w:r>
        <w:rPr>
          <w:rFonts w:ascii="Arial" w:hAnsi="Arial"/>
          <w:sz w:val="22"/>
          <w:rtl/>
          <w:cs w:val="1"/>
        </w:rPr>
        <w:t>סעיף 5  –  תוצאות – טבלת קצבי כשל</w:t>
      </w:r>
    </w:p>
    <w:p>
      <w:pPr>
        <w:bidi/>
        <w:jc w:val="right"/>
      </w:pPr>
      <w:r>
        <w:rPr>
          <w:rFonts w:ascii="Arial" w:hAnsi="Arial"/>
          <w:sz w:val="22"/>
          <w:rtl/>
          <w:cs w:val="1"/>
        </w:rPr>
        <w:t>סעיף 6  –  MTBF כולל ומסקנות</w:t>
      </w:r>
    </w:p>
    <w:p>
      <w:r>
        <w:br w:type="page"/>
      </w:r>
    </w:p>
    <w:p>
      <w:pPr>
        <w:pStyle w:val="Heading1"/>
        <w:bidi/>
        <w:jc w:val="right"/>
      </w:pPr>
      <w:r>
        <w:rPr>
          <w:rFonts w:ascii="Arial" w:hAnsi="Arial"/>
          <w:color w:val="1F3A6E"/>
          <w:sz w:val="28"/>
          <w:rtl/>
          <w:cs w:val="1"/>
        </w:rPr>
        <w:t>1  מבוא</w:t>
      </w:r>
    </w:p>
    <w:p>
      <w:pPr>
        <w:bidi/>
        <w:jc w:val="right"/>
      </w:pPr>
      <w:r>
        <w:rPr>
          <w:rFonts w:ascii="Arial" w:hAnsi="Arial"/>
          <w:b w:val="0"/>
          <w:sz w:val="22"/>
          <w:rtl/>
          <w:cs w:val="1"/>
          <w:rFonts w:cs="Arial"/>
        </w:rPr>
        <w:t>מסמך זה מציג ניתוח אמינות של המעגל האלקטרוני בהתאם לתקן MIL-STD-217F Notice 2 – Reliability Prediction of Electronic Equipment. ניתוח האמינות מאפשר הערכה כמותית של קצב הכשל הצפוי של המערכת ואת זמן הפעולה הממוצע עד לכשל (MTBF). הניתוח מבוסס על BOM (Bill of Materials) שסופק, ועל תנאי הסביבה והפעלה שהוגדרו על ידי המשתמש.</w:t>
      </w:r>
    </w:p>
    <w:p/>
    <w:p>
      <w:pPr>
        <w:pStyle w:val="Heading1"/>
        <w:bidi/>
        <w:jc w:val="right"/>
      </w:pPr>
      <w:r>
        <w:rPr>
          <w:rFonts w:ascii="Arial" w:hAnsi="Arial"/>
          <w:color w:val="1F3A6E"/>
          <w:sz w:val="28"/>
          <w:rtl/>
          <w:cs w:val="1"/>
        </w:rPr>
        <w:t>2  שיטת החישוב</w:t>
      </w:r>
    </w:p>
    <w:p>
      <w:pPr>
        <w:bidi/>
        <w:jc w:val="right"/>
      </w:pPr>
      <w:r>
        <w:rPr>
          <w:rFonts w:ascii="Arial" w:hAnsi="Arial"/>
          <w:b/>
          <w:sz w:val="22"/>
          <w:rtl/>
          <w:cs w:val="1"/>
          <w:rFonts w:cs="Arial"/>
        </w:rPr>
        <w:t>2.1  מודל החישוב</w:t>
      </w:r>
    </w:p>
    <w:p>
      <w:pPr>
        <w:bidi/>
        <w:jc w:val="right"/>
      </w:pPr>
      <w:r>
        <w:rPr>
          <w:rFonts w:ascii="Arial" w:hAnsi="Arial"/>
          <w:b w:val="0"/>
          <w:sz w:val="22"/>
          <w:rtl/>
          <w:cs w:val="1"/>
          <w:rFonts w:cs="Arial"/>
        </w:rPr>
        <w:t>התקן MIL-STD-217F Notice 2 מגדיר מודלים של קצב כשל עבור סוגי רכיבים שונים. קצב הכשל המחושב λ_p (ביחידות כשלים ל-10⁶ שעות) מחושב על פי הנוסחה הכללית:</w:t>
      </w:r>
    </w:p>
    <w:p>
      <w:pPr>
        <w:bidi/>
        <w:jc w:val="right"/>
      </w:pPr>
      <w:r>
        <w:rPr>
          <w:rFonts w:ascii="Arial" w:hAnsi="Arial"/>
          <w:b/>
          <w:color w:val="1F3A6E"/>
          <w:sz w:val="22"/>
          <w:rtl/>
          <w:cs w:val="1"/>
          <w:rFonts w:cs="Arial"/>
        </w:rPr>
        <w:t>λ_p = λ_b × π_T × π_Q × π_E × [גורמים נוספים]</w:t>
      </w:r>
    </w:p>
    <w:p>
      <w:pPr>
        <w:bidi/>
        <w:jc w:val="right"/>
      </w:pPr>
      <w:r>
        <w:rPr>
          <w:rFonts w:ascii="Arial" w:hAnsi="Arial"/>
          <w:b w:val="0"/>
          <w:sz w:val="20"/>
          <w:rtl/>
          <w:cs w:val="1"/>
          <w:rFonts w:cs="Arial"/>
        </w:rPr>
        <w:t>• λ_b – קצב הכשל הבסיסי – ספציפי לסוג הרכיב</w:t>
      </w:r>
    </w:p>
    <w:p>
      <w:pPr>
        <w:bidi/>
        <w:jc w:val="right"/>
      </w:pPr>
      <w:r>
        <w:rPr>
          <w:rFonts w:ascii="Arial" w:hAnsi="Arial"/>
          <w:b w:val="0"/>
          <w:sz w:val="20"/>
          <w:rtl/>
          <w:cs w:val="1"/>
          <w:rFonts w:cs="Arial"/>
        </w:rPr>
        <w:t>• π_T – גורם טמפרטורה – מבוסס על נוסחת Arrhenius עם אנרגיית הפעלה Ea</w:t>
      </w:r>
    </w:p>
    <w:p>
      <w:pPr>
        <w:bidi/>
        <w:jc w:val="right"/>
      </w:pPr>
      <w:r>
        <w:rPr>
          <w:rFonts w:ascii="Arial" w:hAnsi="Arial"/>
          <w:b w:val="0"/>
          <w:sz w:val="20"/>
          <w:rtl/>
          <w:cs w:val="1"/>
          <w:rFonts w:cs="Arial"/>
        </w:rPr>
        <w:t>• π_Q – גורם איכות – נגזר מרמת הסמכת הרכיב</w:t>
      </w:r>
    </w:p>
    <w:p>
      <w:pPr>
        <w:bidi/>
        <w:jc w:val="right"/>
      </w:pPr>
      <w:r>
        <w:rPr>
          <w:rFonts w:ascii="Arial" w:hAnsi="Arial"/>
          <w:b w:val="0"/>
          <w:sz w:val="20"/>
          <w:rtl/>
          <w:cs w:val="1"/>
          <w:rFonts w:cs="Arial"/>
        </w:rPr>
        <w:t>• π_E – גורם סביבה – מביא בחשבון עומסים מכניים ואקלימיים</w:t>
      </w:r>
    </w:p>
    <w:p>
      <w:pPr>
        <w:bidi/>
        <w:jc w:val="right"/>
      </w:pPr>
      <w:r>
        <w:rPr>
          <w:rFonts w:ascii="Arial" w:hAnsi="Arial"/>
          <w:b w:val="0"/>
          <w:sz w:val="20"/>
          <w:rtl/>
          <w:cs w:val="1"/>
          <w:rFonts w:cs="Arial"/>
        </w:rPr>
        <w:t>• π_R/π_CV/... – גורמי עצמה/קיבול/עקה – ספציפיים לסוג הרכיב</w:t>
      </w:r>
    </w:p>
    <w:p/>
    <w:p>
      <w:pPr>
        <w:bidi/>
        <w:jc w:val="right"/>
      </w:pPr>
      <w:r>
        <w:rPr>
          <w:rFonts w:ascii="Arial" w:hAnsi="Arial"/>
          <w:b/>
          <w:sz w:val="22"/>
          <w:rtl/>
          <w:cs w:val="1"/>
          <w:rFonts w:cs="Arial"/>
        </w:rPr>
        <w:t>2.2  מודלים לפי סוג רכיב</w:t>
      </w:r>
    </w:p>
    <w:p>
      <w:pPr>
        <w:bidi/>
        <w:jc w:val="right"/>
      </w:pPr>
      <w:r>
        <w:rPr>
          <w:rFonts w:ascii="Arial" w:hAnsi="Arial"/>
          <w:b w:val="0"/>
          <w:sz w:val="20"/>
          <w:rtl/>
          <w:cs w:val="1"/>
          <w:rFonts w:cs="Arial"/>
        </w:rPr>
        <w:t>• מעגלים משולבים (IC): סעיף 5.1 – C₁×π_T + C₂×π_E) × π_Q × π_L</w:t>
      </w:r>
    </w:p>
    <w:p>
      <w:pPr>
        <w:bidi/>
        <w:jc w:val="right"/>
      </w:pPr>
      <w:r>
        <w:rPr>
          <w:rFonts w:ascii="Arial" w:hAnsi="Arial"/>
          <w:b w:val="0"/>
          <w:sz w:val="20"/>
          <w:rtl/>
          <w:cs w:val="1"/>
          <w:rFonts w:cs="Arial"/>
        </w:rPr>
        <w:t>• טרנזיסטורים: סעיף 6   – λ_b × π_T × π_A × π_S × π_Q × π_E</w:t>
      </w:r>
    </w:p>
    <w:p>
      <w:pPr>
        <w:bidi/>
        <w:jc w:val="right"/>
      </w:pPr>
      <w:r>
        <w:rPr>
          <w:rFonts w:ascii="Arial" w:hAnsi="Arial"/>
          <w:b w:val="0"/>
          <w:sz w:val="20"/>
          <w:rtl/>
          <w:cs w:val="1"/>
          <w:rFonts w:cs="Arial"/>
        </w:rPr>
        <w:t>• דיודות: סעיף 7   – λ_b × π_T × π_S × π_C × π_Q × π_E</w:t>
      </w:r>
    </w:p>
    <w:p>
      <w:pPr>
        <w:bidi/>
        <w:jc w:val="right"/>
      </w:pPr>
      <w:r>
        <w:rPr>
          <w:rFonts w:ascii="Arial" w:hAnsi="Arial"/>
          <w:b w:val="0"/>
          <w:sz w:val="20"/>
          <w:rtl/>
          <w:cs w:val="1"/>
          <w:rFonts w:cs="Arial"/>
        </w:rPr>
        <w:t>• נגדים (Film): סעיף 9   – λ_b × π_T × π_R × π_Q × π_E</w:t>
      </w:r>
    </w:p>
    <w:p>
      <w:pPr>
        <w:bidi/>
        <w:jc w:val="right"/>
      </w:pPr>
      <w:r>
        <w:rPr>
          <w:rFonts w:ascii="Arial" w:hAnsi="Arial"/>
          <w:b w:val="0"/>
          <w:sz w:val="20"/>
          <w:rtl/>
          <w:cs w:val="1"/>
          <w:rFonts w:cs="Arial"/>
        </w:rPr>
        <w:t>• קבלים (Ceramic/Elect.): סעיף 10  – λ_b × π_CV × π_T × π_Q × π_E</w:t>
      </w:r>
    </w:p>
    <w:p>
      <w:pPr>
        <w:bidi/>
        <w:jc w:val="right"/>
      </w:pPr>
      <w:r>
        <w:rPr>
          <w:rFonts w:ascii="Arial" w:hAnsi="Arial"/>
          <w:b w:val="0"/>
          <w:sz w:val="20"/>
          <w:rtl/>
          <w:cs w:val="1"/>
          <w:rFonts w:cs="Arial"/>
        </w:rPr>
        <w:t>• סלילים / שנאים: סעיף 11  – λ_b × π_T × π_Q × π_E</w:t>
      </w:r>
    </w:p>
    <w:p>
      <w:pPr>
        <w:bidi/>
        <w:jc w:val="right"/>
      </w:pPr>
      <w:r>
        <w:rPr>
          <w:rFonts w:ascii="Arial" w:hAnsi="Arial"/>
          <w:b w:val="0"/>
          <w:sz w:val="20"/>
          <w:rtl/>
          <w:cs w:val="1"/>
          <w:rFonts w:cs="Arial"/>
        </w:rPr>
        <w:t>• מחברים (Connectors): סעיף 15  – λ_b × π_E × π_Q × π_P</w:t>
      </w:r>
    </w:p>
    <w:p>
      <w:pPr>
        <w:bidi/>
        <w:jc w:val="right"/>
      </w:pPr>
      <w:r>
        <w:rPr>
          <w:rFonts w:ascii="Arial" w:hAnsi="Arial"/>
          <w:b w:val="0"/>
          <w:sz w:val="20"/>
          <w:rtl/>
          <w:cs w:val="1"/>
          <w:rFonts w:cs="Arial"/>
        </w:rPr>
        <w:t>• קריסטלים / אוסקילטורים: סעיף 18  – λ_b × π_T × π_Q × π_E</w:t>
      </w:r>
    </w:p>
    <w:p/>
    <w:p>
      <w:pPr>
        <w:pStyle w:val="Heading1"/>
        <w:bidi/>
        <w:jc w:val="right"/>
      </w:pPr>
      <w:r>
        <w:rPr>
          <w:rFonts w:ascii="Arial" w:hAnsi="Arial"/>
          <w:color w:val="1F3A6E"/>
          <w:sz w:val="28"/>
          <w:rtl/>
          <w:cs w:val="1"/>
        </w:rPr>
        <w:t>3  הנחות וגבולות</w:t>
      </w:r>
    </w:p>
    <w:p>
      <w:pPr>
        <w:bidi/>
        <w:jc w:val="right"/>
      </w:pPr>
      <w:r>
        <w:rPr>
          <w:rFonts w:ascii="Arial" w:hAnsi="Arial"/>
          <w:b w:val="0"/>
          <w:sz w:val="22"/>
          <w:rtl/>
          <w:cs w:val="1"/>
          <w:rFonts w:cs="Arial"/>
        </w:rPr>
        <w:t>• תנאי סביבה: GF – קרקעי, קבוע</w:t>
      </w:r>
    </w:p>
    <w:p>
      <w:pPr>
        <w:bidi/>
        <w:jc w:val="right"/>
      </w:pPr>
      <w:r>
        <w:rPr>
          <w:rFonts w:ascii="Arial" w:hAnsi="Arial"/>
          <w:b w:val="0"/>
          <w:sz w:val="22"/>
          <w:rtl/>
          <w:cs w:val="1"/>
          <w:rFonts w:cs="Arial"/>
        </w:rPr>
        <w:t>• טמפרטורת סביבה מרבית: 40.0 °C</w:t>
      </w:r>
    </w:p>
    <w:p>
      <w:pPr>
        <w:bidi/>
        <w:jc w:val="right"/>
      </w:pPr>
      <w:r>
        <w:rPr>
          <w:rFonts w:ascii="Arial" w:hAnsi="Arial"/>
          <w:b w:val="0"/>
          <w:sz w:val="22"/>
          <w:rtl/>
          <w:cs w:val="1"/>
          <w:rFonts w:cs="Arial"/>
        </w:rPr>
        <w:t>• יחס עקה (Stress Ratio): 50%</w:t>
      </w:r>
    </w:p>
    <w:p>
      <w:pPr>
        <w:bidi/>
        <w:jc w:val="right"/>
      </w:pPr>
      <w:r>
        <w:rPr>
          <w:rFonts w:ascii="Arial" w:hAnsi="Arial"/>
          <w:b w:val="0"/>
          <w:sz w:val="22"/>
          <w:rtl/>
          <w:cs w:val="1"/>
          <w:rFonts w:cs="Arial"/>
        </w:rPr>
        <w:t>• רמת איכות רכיבים: S – Space / JANTXV (S)</w:t>
      </w:r>
    </w:p>
    <w:p>
      <w:pPr>
        <w:bidi/>
        <w:jc w:val="right"/>
      </w:pPr>
      <w:r>
        <w:rPr>
          <w:rFonts w:ascii="Arial" w:hAnsi="Arial"/>
          <w:b w:val="0"/>
          <w:sz w:val="22"/>
          <w:rtl/>
          <w:cs w:val="1"/>
          <w:rFonts w:cs="Arial"/>
        </w:rPr>
        <w:t>• מצב כשל: קבוע (אינו כולל תקופת ה-Burn-In וסוף החיים)</w:t>
      </w:r>
    </w:p>
    <w:p>
      <w:pPr>
        <w:bidi/>
        <w:jc w:val="right"/>
      </w:pPr>
      <w:r>
        <w:rPr>
          <w:rFonts w:ascii="Arial" w:hAnsi="Arial"/>
          <w:b w:val="0"/>
          <w:sz w:val="22"/>
          <w:rtl/>
          <w:cs w:val="1"/>
          <w:rFonts w:cs="Arial"/>
        </w:rPr>
        <w:t>• חישוב MTBF מבוסס על עומס כשל קבוע (Constant Failure Rate – CFR)</w:t>
      </w:r>
    </w:p>
    <w:p>
      <w:pPr>
        <w:bidi/>
        <w:jc w:val="right"/>
      </w:pPr>
      <w:r>
        <w:rPr>
          <w:rFonts w:ascii="Arial" w:hAnsi="Arial"/>
          <w:b w:val="0"/>
          <w:sz w:val="22"/>
          <w:rtl/>
          <w:cs w:val="1"/>
          <w:rFonts w:cs="Arial"/>
        </w:rPr>
        <w:t>• רכיבים שלא זוהו כוללים אינם נכנסים לחישוב הכולל</w:t>
      </w:r>
    </w:p>
    <w:p>
      <w:pPr>
        <w:bidi/>
        <w:jc w:val="right"/>
      </w:pPr>
      <w:r>
        <w:rPr>
          <w:rFonts w:ascii="Arial" w:hAnsi="Arial"/>
          <w:b w:val="0"/>
          <w:sz w:val="22"/>
          <w:rtl/>
          <w:cs w:val="1"/>
          <w:rFonts w:cs="Arial"/>
        </w:rPr>
        <w:t>• ל-π_L (Learning Factor) הונחה תקופת ייצור מעל 2 שנים (π_L = 0.5)</w:t>
      </w:r>
    </w:p>
    <w:p/>
    <w:p>
      <w:pPr>
        <w:pStyle w:val="Heading1"/>
        <w:bidi/>
        <w:jc w:val="right"/>
      </w:pPr>
      <w:r>
        <w:rPr>
          <w:rFonts w:ascii="Arial" w:hAnsi="Arial"/>
          <w:color w:val="1F3A6E"/>
          <w:sz w:val="28"/>
          <w:rtl/>
          <w:cs w:val="1"/>
        </w:rPr>
        <w:t>4  סימוכין ותקנים</w:t>
      </w:r>
    </w:p>
    <w:p>
      <w:pPr>
        <w:bidi/>
        <w:jc w:val="right"/>
      </w:pPr>
      <w:r>
        <w:rPr>
          <w:rFonts w:ascii="Arial" w:hAnsi="Arial"/>
          <w:b w:val="0"/>
          <w:sz w:val="20"/>
          <w:rtl/>
          <w:cs w:val="1"/>
          <w:rFonts w:cs="Arial"/>
        </w:rPr>
        <w:t>[1]  MIL-STD-217F, Notice 2, "Reliability Prediction of Electronic Equipment," Department of Defense, USA, 28 February 1995.</w:t>
      </w:r>
    </w:p>
    <w:p>
      <w:pPr>
        <w:bidi/>
        <w:jc w:val="right"/>
      </w:pPr>
      <w:r>
        <w:rPr>
          <w:rFonts w:ascii="Arial" w:hAnsi="Arial"/>
          <w:b w:val="0"/>
          <w:sz w:val="20"/>
          <w:rtl/>
          <w:cs w:val="1"/>
          <w:rFonts w:cs="Arial"/>
        </w:rPr>
        <w:t>[2]  MIL-HDBK-338B, "Electronic Reliability Design Handbook," 1998.</w:t>
      </w:r>
    </w:p>
    <w:p>
      <w:pPr>
        <w:bidi/>
        <w:jc w:val="right"/>
      </w:pPr>
      <w:r>
        <w:rPr>
          <w:rFonts w:ascii="Arial" w:hAnsi="Arial"/>
          <w:b w:val="0"/>
          <w:sz w:val="20"/>
          <w:rtl/>
          <w:cs w:val="1"/>
          <w:rFonts w:cs="Arial"/>
        </w:rPr>
        <w:t>[3]  IEC 62380, "Reliability Data Handbook," 2004.</w:t>
      </w:r>
    </w:p>
    <w:p>
      <w:pPr>
        <w:bidi/>
        <w:jc w:val="right"/>
      </w:pPr>
      <w:r>
        <w:rPr>
          <w:rFonts w:ascii="Arial" w:hAnsi="Arial"/>
          <w:b w:val="0"/>
          <w:sz w:val="20"/>
          <w:rtl/>
          <w:cs w:val="1"/>
          <w:rFonts w:cs="Arial"/>
        </w:rPr>
        <w:t>[4]  JEDEC JEP122H, "Failure Mechanisms and Models for Semiconductor Devices," 2016.</w:t>
      </w:r>
    </w:p>
    <w:p>
      <w:pPr>
        <w:bidi/>
        <w:jc w:val="right"/>
      </w:pPr>
      <w:r>
        <w:rPr>
          <w:rFonts w:ascii="Arial" w:hAnsi="Arial"/>
          <w:b w:val="0"/>
          <w:sz w:val="20"/>
          <w:rtl/>
          <w:cs w:val="1"/>
          <w:rFonts w:cs="Arial"/>
        </w:rPr>
        <w:t>[5]  Texas Instruments Reliability Data – www.ti.com/quality</w:t>
      </w:r>
    </w:p>
    <w:p>
      <w:pPr>
        <w:bidi/>
        <w:jc w:val="right"/>
      </w:pPr>
      <w:r>
        <w:rPr>
          <w:rFonts w:ascii="Arial" w:hAnsi="Arial"/>
          <w:b w:val="0"/>
          <w:sz w:val="20"/>
          <w:rtl/>
          <w:cs w:val="1"/>
          <w:rFonts w:cs="Arial"/>
        </w:rPr>
        <w:t>[6]  Analog Devices Reliability Data – www.analog.com/quality-reliability</w:t>
      </w:r>
    </w:p>
    <w:p>
      <w:r>
        <w:br w:type="page"/>
      </w:r>
    </w:p>
    <w:p>
      <w:pPr>
        <w:pStyle w:val="Heading1"/>
        <w:bidi/>
        <w:jc w:val="right"/>
      </w:pPr>
      <w:r>
        <w:rPr>
          <w:rFonts w:ascii="Arial" w:hAnsi="Arial"/>
          <w:color w:val="1F3A6E"/>
          <w:sz w:val="28"/>
          <w:rtl/>
          <w:cs w:val="1"/>
        </w:rPr>
        <w:t>5  תוצאות – טבלת קצבי כשל</w:t>
      </w:r>
    </w:p>
    <w:p>
      <w:pPr>
        <w:bidi/>
        <w:jc w:val="right"/>
      </w:pPr>
      <w:r>
        <w:rPr>
          <w:rFonts w:ascii="Arial" w:hAnsi="Arial"/>
          <w:b w:val="0"/>
          <w:color w:val="555555"/>
          <w:sz w:val="20"/>
          <w:rtl/>
          <w:cs w:val="1"/>
          <w:rFonts w:cs="Arial"/>
        </w:rPr>
        <w:t>סביבה: GF | טמפרטורה: 40.0°C | איכות: S | עקה: 50%</w:t>
      </w:r>
    </w:p>
    <w:p/>
    <w:tbl>
      <w:tblPr>
        <w:tblStyle w:val="TableGrid"/>
        <w:tblW w:type="auto" w:w="0"/>
        <w:jc w:val="center"/>
        <w:tblLook w:firstColumn="1" w:firstRow="1" w:lastColumn="0" w:lastRow="0" w:noHBand="0" w:noVBand="1" w:val="04A0"/>
      </w:tblPr>
      <w:tblGrid>
        <w:gridCol w:w="756"/>
        <w:gridCol w:w="756"/>
        <w:gridCol w:w="756"/>
        <w:gridCol w:w="756"/>
        <w:gridCol w:w="756"/>
        <w:gridCol w:w="756"/>
        <w:gridCol w:w="756"/>
        <w:gridCol w:w="756"/>
        <w:gridCol w:w="756"/>
        <w:gridCol w:w="756"/>
        <w:gridCol w:w="756"/>
        <w:gridCol w:w="756"/>
      </w:tblGrid>
      <w:tr>
        <w:tc>
          <w:tcPr>
            <w:tcW w:type="dxa" w:w="1417"/>
            <w:shd w:val="clear" w:color="auto" w:fill="1F3A6E"/>
            <w:vAlign w:val="center"/>
          </w:tcPr>
          <w:p>
            <w:pPr>
              <w:bidi/>
              <w:jc w:val="center"/>
            </w:pPr>
            <w:r>
              <w:rPr>
                <w:rFonts w:ascii="Arial" w:hAnsi="Arial"/>
                <w:b/>
                <w:color w:val="FFFFFF"/>
                <w:sz w:val="18"/>
                <w:rtl/>
                <w:cs w:val="1"/>
              </w:rPr>
              <w:t>סה"כ λ_p</w:t>
              <w:br/>
              <w:t>(כשלים/10⁶שע)</w:t>
            </w:r>
          </w:p>
        </w:tc>
        <w:tc>
          <w:tcPr>
            <w:tcW w:type="dxa" w:w="1417"/>
            <w:shd w:val="clear" w:color="auto" w:fill="1F3A6E"/>
            <w:vAlign w:val="center"/>
          </w:tcPr>
          <w:p>
            <w:pPr>
              <w:bidi/>
              <w:jc w:val="center"/>
            </w:pPr>
            <w:r>
              <w:rPr>
                <w:rFonts w:ascii="Arial" w:hAnsi="Arial"/>
                <w:b/>
                <w:color w:val="FFFFFF"/>
                <w:sz w:val="18"/>
                <w:rtl/>
                <w:cs w:val="1"/>
              </w:rPr>
              <w:t>λ_p יחידה</w:t>
              <w:br/>
              <w:t>(כשלים/10⁶שע)</w:t>
            </w:r>
          </w:p>
        </w:tc>
        <w:tc>
          <w:tcPr>
            <w:tcW w:type="dxa" w:w="680"/>
            <w:shd w:val="clear" w:color="auto" w:fill="1F3A6E"/>
            <w:vAlign w:val="center"/>
          </w:tcPr>
          <w:p>
            <w:pPr>
              <w:bidi/>
              <w:jc w:val="center"/>
            </w:pPr>
            <w:r>
              <w:rPr>
                <w:rFonts w:ascii="Arial" w:hAnsi="Arial"/>
                <w:b/>
                <w:color w:val="FFFFFF"/>
                <w:sz w:val="18"/>
                <w:rtl/>
                <w:cs w:val="1"/>
              </w:rPr>
              <w:t>כמות</w:t>
            </w:r>
          </w:p>
        </w:tc>
        <w:tc>
          <w:tcPr>
            <w:tcW w:type="dxa" w:w="1587"/>
            <w:shd w:val="clear" w:color="auto" w:fill="1F3A6E"/>
            <w:vAlign w:val="center"/>
          </w:tcPr>
          <w:p>
            <w:pPr>
              <w:bidi/>
              <w:jc w:val="center"/>
            </w:pPr>
            <w:r>
              <w:rPr>
                <w:rFonts w:ascii="Arial" w:hAnsi="Arial"/>
                <w:b/>
                <w:color w:val="FFFFFF"/>
                <w:sz w:val="18"/>
                <w:rtl/>
                <w:cs w:val="1"/>
              </w:rPr>
              <w:t>מודל MIL-217F</w:t>
            </w:r>
          </w:p>
        </w:tc>
        <w:tc>
          <w:tcPr>
            <w:tcW w:type="dxa" w:w="680"/>
            <w:shd w:val="clear" w:color="auto" w:fill="1F3A6E"/>
            <w:vAlign w:val="center"/>
          </w:tcPr>
          <w:p>
            <w:pPr>
              <w:bidi/>
              <w:jc w:val="center"/>
            </w:pPr>
            <w:r>
              <w:rPr>
                <w:rFonts w:ascii="Arial" w:hAnsi="Arial"/>
                <w:b/>
                <w:color w:val="FFFFFF"/>
                <w:sz w:val="18"/>
                <w:rtl/>
                <w:cs w:val="1"/>
              </w:rPr>
              <w:t>גורם π_E</w:t>
            </w:r>
          </w:p>
        </w:tc>
        <w:tc>
          <w:tcPr>
            <w:tcW w:type="dxa" w:w="680"/>
            <w:shd w:val="clear" w:color="auto" w:fill="1F3A6E"/>
            <w:vAlign w:val="center"/>
          </w:tcPr>
          <w:p>
            <w:pPr>
              <w:bidi/>
              <w:jc w:val="center"/>
            </w:pPr>
            <w:r>
              <w:rPr>
                <w:rFonts w:ascii="Arial" w:hAnsi="Arial"/>
                <w:b/>
                <w:color w:val="FFFFFF"/>
                <w:sz w:val="18"/>
                <w:rtl/>
                <w:cs w:val="1"/>
              </w:rPr>
              <w:t>גורם π_Q</w:t>
            </w:r>
          </w:p>
        </w:tc>
        <w:tc>
          <w:tcPr>
            <w:tcW w:type="dxa" w:w="680"/>
            <w:shd w:val="clear" w:color="auto" w:fill="1F3A6E"/>
            <w:vAlign w:val="center"/>
          </w:tcPr>
          <w:p>
            <w:pPr>
              <w:bidi/>
              <w:jc w:val="center"/>
            </w:pPr>
            <w:r>
              <w:rPr>
                <w:rFonts w:ascii="Arial" w:hAnsi="Arial"/>
                <w:b/>
                <w:color w:val="FFFFFF"/>
                <w:sz w:val="18"/>
                <w:rtl/>
                <w:cs w:val="1"/>
              </w:rPr>
              <w:t>גורם π_T</w:t>
            </w:r>
          </w:p>
        </w:tc>
        <w:tc>
          <w:tcPr>
            <w:tcW w:type="dxa" w:w="1417"/>
            <w:shd w:val="clear" w:color="auto" w:fill="1F3A6E"/>
            <w:vAlign w:val="center"/>
          </w:tcPr>
          <w:p>
            <w:pPr>
              <w:bidi/>
              <w:jc w:val="center"/>
            </w:pPr>
            <w:r>
              <w:rPr>
                <w:rFonts w:ascii="Arial" w:hAnsi="Arial"/>
                <w:b/>
                <w:color w:val="FFFFFF"/>
                <w:sz w:val="18"/>
                <w:rtl/>
                <w:cs w:val="1"/>
              </w:rPr>
              <w:t>מקור נתונים</w:t>
            </w:r>
          </w:p>
        </w:tc>
        <w:tc>
          <w:tcPr>
            <w:tcW w:type="dxa" w:w="1247"/>
            <w:shd w:val="clear" w:color="auto" w:fill="1F3A6E"/>
            <w:vAlign w:val="center"/>
          </w:tcPr>
          <w:p>
            <w:pPr>
              <w:bidi/>
              <w:jc w:val="center"/>
            </w:pPr>
            <w:r>
              <w:rPr>
                <w:rFonts w:ascii="Arial" w:hAnsi="Arial"/>
                <w:b/>
                <w:color w:val="FFFFFF"/>
                <w:sz w:val="18"/>
                <w:rtl/>
                <w:cs w:val="1"/>
              </w:rPr>
              <w:t>יצרן</w:t>
            </w:r>
          </w:p>
        </w:tc>
        <w:tc>
          <w:tcPr>
            <w:tcW w:type="dxa" w:w="1247"/>
            <w:shd w:val="clear" w:color="auto" w:fill="1F3A6E"/>
            <w:vAlign w:val="center"/>
          </w:tcPr>
          <w:p>
            <w:pPr>
              <w:bidi/>
              <w:jc w:val="center"/>
            </w:pPr>
            <w:r>
              <w:rPr>
                <w:rFonts w:ascii="Arial" w:hAnsi="Arial"/>
                <w:b/>
                <w:color w:val="FFFFFF"/>
                <w:sz w:val="18"/>
                <w:rtl/>
                <w:cs w:val="1"/>
              </w:rPr>
              <w:t>מק"ט</w:t>
            </w:r>
          </w:p>
        </w:tc>
        <w:tc>
          <w:tcPr>
            <w:tcW w:type="dxa" w:w="1984"/>
            <w:shd w:val="clear" w:color="auto" w:fill="1F3A6E"/>
            <w:vAlign w:val="center"/>
          </w:tcPr>
          <w:p>
            <w:pPr>
              <w:bidi/>
              <w:jc w:val="center"/>
            </w:pPr>
            <w:r>
              <w:rPr>
                <w:rFonts w:ascii="Arial" w:hAnsi="Arial"/>
                <w:b/>
                <w:color w:val="FFFFFF"/>
                <w:sz w:val="18"/>
                <w:rtl/>
                <w:cs w:val="1"/>
              </w:rPr>
              <w:t>תיאור</w:t>
            </w:r>
          </w:p>
        </w:tc>
        <w:tc>
          <w:tcPr>
            <w:tcW w:type="dxa" w:w="1134"/>
            <w:shd w:val="clear" w:color="auto" w:fill="1F3A6E"/>
            <w:vAlign w:val="center"/>
          </w:tcPr>
          <w:p>
            <w:pPr>
              <w:bidi/>
              <w:jc w:val="center"/>
            </w:pPr>
            <w:r>
              <w:rPr>
                <w:rFonts w:ascii="Arial" w:hAnsi="Arial"/>
                <w:b/>
                <w:color w:val="FFFFFF"/>
                <w:sz w:val="18"/>
                <w:rtl/>
                <w:cs w:val="1"/>
              </w:rPr>
              <w:t>RefDes</w:t>
            </w:r>
          </w:p>
        </w:tc>
      </w:tr>
      <w:tr>
        <w:tc>
          <w:tcPr>
            <w:tcW w:type="dxa" w:w="756"/>
            <w:shd w:val="clear" w:color="auto" w:fill="D4E1F7"/>
          </w:tcPr>
          <w:p>
            <w:pPr>
              <w:bidi/>
              <w:jc w:val="right"/>
            </w:pPr>
            <w:r>
              <w:rPr>
                <w:rFonts w:ascii="Arial" w:hAnsi="Arial"/>
                <w:b/>
                <w:sz w:val="20"/>
                <w:rtl/>
                <w:cs w:val="1"/>
              </w:rPr>
              <w:t>0.00000</w:t>
            </w:r>
          </w:p>
        </w:tc>
        <w:tc>
          <w:tcPr>
            <w:tcW w:type="dxa" w:w="756"/>
            <w:shd w:val="clear" w:color="auto" w:fill="D4E1F7"/>
          </w:tcPr>
          <w:p/>
        </w:tc>
        <w:tc>
          <w:tcPr>
            <w:tcW w:type="dxa" w:w="756"/>
            <w:shd w:val="clear" w:color="auto" w:fill="D4E1F7"/>
          </w:tcPr>
          <w:p/>
        </w:tc>
        <w:tc>
          <w:tcPr>
            <w:tcW w:type="dxa" w:w="756"/>
            <w:shd w:val="clear" w:color="auto" w:fill="D4E1F7"/>
          </w:tcPr>
          <w:p/>
        </w:tc>
        <w:tc>
          <w:tcPr>
            <w:tcW w:type="dxa" w:w="756"/>
            <w:shd w:val="clear" w:color="auto" w:fill="D4E1F7"/>
          </w:tcPr>
          <w:p/>
        </w:tc>
        <w:tc>
          <w:tcPr>
            <w:tcW w:type="dxa" w:w="756"/>
            <w:shd w:val="clear" w:color="auto" w:fill="D4E1F7"/>
          </w:tcPr>
          <w:p/>
        </w:tc>
        <w:tc>
          <w:tcPr>
            <w:tcW w:type="dxa" w:w="756"/>
            <w:shd w:val="clear" w:color="auto" w:fill="D4E1F7"/>
          </w:tcPr>
          <w:p/>
        </w:tc>
        <w:tc>
          <w:tcPr>
            <w:tcW w:type="dxa" w:w="756"/>
            <w:shd w:val="clear" w:color="auto" w:fill="D4E1F7"/>
          </w:tcPr>
          <w:p/>
        </w:tc>
        <w:tc>
          <w:tcPr>
            <w:tcW w:type="dxa" w:w="756"/>
            <w:shd w:val="clear" w:color="auto" w:fill="D4E1F7"/>
          </w:tcPr>
          <w:p/>
        </w:tc>
        <w:tc>
          <w:tcPr>
            <w:tcW w:type="dxa" w:w="756"/>
            <w:shd w:val="clear" w:color="auto" w:fill="D4E1F7"/>
          </w:tcPr>
          <w:p/>
        </w:tc>
        <w:tc>
          <w:tcPr>
            <w:tcW w:type="dxa" w:w="756"/>
            <w:shd w:val="clear" w:color="auto" w:fill="D4E1F7"/>
          </w:tcPr>
          <w:p/>
        </w:tc>
        <w:tc>
          <w:tcPr>
            <w:tcW w:type="dxa" w:w="756"/>
            <w:shd w:val="clear" w:color="auto" w:fill="D4E1F7"/>
          </w:tcPr>
          <w:p>
            <w:pPr>
              <w:bidi/>
              <w:jc w:val="right"/>
            </w:pPr>
            <w:r>
              <w:rPr>
                <w:rFonts w:ascii="Arial" w:hAnsi="Arial"/>
                <w:b/>
                <w:sz w:val="20"/>
                <w:rtl/>
                <w:cs w:val="1"/>
              </w:rPr>
              <w:t>סה"כ מערכת</w:t>
            </w:r>
          </w:p>
        </w:tc>
      </w:tr>
    </w:tbl>
    <w:p/>
    <w:p>
      <w:r>
        <w:br w:type="page"/>
      </w:r>
    </w:p>
    <w:p>
      <w:pPr>
        <w:pStyle w:val="Heading1"/>
        <w:bidi/>
        <w:jc w:val="right"/>
      </w:pPr>
      <w:r>
        <w:rPr>
          <w:rFonts w:ascii="Arial" w:hAnsi="Arial"/>
          <w:color w:val="1F3A6E"/>
          <w:sz w:val="28"/>
          <w:rtl/>
          <w:cs w:val="1"/>
        </w:rPr>
        <w:t>6  MTBF כולל ומסקנות</w:t>
      </w:r>
    </w:p>
    <w:p>
      <w:pPr>
        <w:bidi/>
        <w:jc w:val="right"/>
      </w:pPr>
      <w:r>
        <w:rPr>
          <w:rFonts w:ascii="Arial" w:hAnsi="Arial"/>
          <w:b/>
          <w:sz w:val="24"/>
          <w:rtl/>
          <w:cs w:val="1"/>
          <w:rFonts w:cs="Arial"/>
        </w:rPr>
        <w:t>6.1  תוצאות מסכמות</w:t>
      </w:r>
    </w:p>
    <w:p>
      <w:pPr>
        <w:bidi/>
        <w:jc w:val="right"/>
      </w:pPr>
      <w:r>
        <w:rPr>
          <w:rFonts w:ascii="Arial" w:hAnsi="Arial"/>
          <w:b w:val="0"/>
          <w:sz w:val="22"/>
          <w:rtl/>
          <w:cs w:val="1"/>
          <w:rFonts w:cs="Arial"/>
        </w:rPr>
        <w:t>● קצב הכשל הכולל של המערכת: λ_sys = 0.0000  כשלים / 10⁶ שעות</w:t>
      </w:r>
    </w:p>
    <w:p>
      <w:pPr>
        <w:bidi/>
        <w:jc w:val="right"/>
      </w:pPr>
      <w:r>
        <w:rPr>
          <w:rFonts w:ascii="Arial" w:hAnsi="Arial"/>
          <w:b w:val="0"/>
          <w:sz w:val="22"/>
          <w:rtl/>
          <w:cs w:val="1"/>
          <w:rFonts w:cs="Arial"/>
        </w:rPr>
        <w:t>● קצב הכשל בפיזית FIT: λ_sys = 0.00  FIT (כשלים / 10⁹ שעות)</w:t>
      </w:r>
    </w:p>
    <w:p>
      <w:pPr>
        <w:bidi/>
        <w:jc w:val="right"/>
      </w:pPr>
      <w:r>
        <w:rPr>
          <w:rFonts w:ascii="Arial" w:hAnsi="Arial"/>
          <w:b w:val="0"/>
          <w:sz w:val="22"/>
          <w:rtl/>
          <w:cs w:val="1"/>
          <w:rFonts w:cs="Arial"/>
        </w:rPr>
        <w:t>● MTBF מחושב: 999,999,999  שעות   (114155.3 שנים)</w:t>
      </w:r>
    </w:p>
    <w:p>
      <w:pPr>
        <w:bidi/>
        <w:jc w:val="right"/>
      </w:pPr>
      <w:r>
        <w:rPr>
          <w:rFonts w:ascii="Arial" w:hAnsi="Arial"/>
          <w:b w:val="0"/>
          <w:sz w:val="22"/>
          <w:rtl/>
          <w:cs w:val="1"/>
          <w:rFonts w:cs="Arial"/>
        </w:rPr>
        <w:t>● סביבת חישוב: GF – קרקעי, קבוע</w:t>
      </w:r>
    </w:p>
    <w:p>
      <w:pPr>
        <w:bidi/>
        <w:jc w:val="right"/>
      </w:pPr>
      <w:r>
        <w:rPr>
          <w:rFonts w:ascii="Arial" w:hAnsi="Arial"/>
          <w:b w:val="0"/>
          <w:sz w:val="22"/>
          <w:rtl/>
          <w:cs w:val="1"/>
          <w:rFonts w:cs="Arial"/>
        </w:rPr>
        <w:t>● טמפרטורת סביבה: 40.0 °C</w:t>
      </w:r>
    </w:p>
    <w:p>
      <w:pPr>
        <w:bidi/>
        <w:jc w:val="right"/>
      </w:pPr>
      <w:r>
        <w:rPr>
          <w:rFonts w:ascii="Arial" w:hAnsi="Arial"/>
          <w:b w:val="0"/>
          <w:sz w:val="22"/>
          <w:rtl/>
          <w:cs w:val="1"/>
          <w:rFonts w:cs="Arial"/>
        </w:rPr>
        <w:t>● רמת איכות: S – Space / JANTXV (S)</w:t>
      </w:r>
    </w:p>
    <w:p/>
    <w:p>
      <w:pPr>
        <w:bidi/>
        <w:jc w:val="right"/>
      </w:pPr>
      <w:r>
        <w:rPr>
          <w:rFonts w:ascii="Arial" w:hAnsi="Arial"/>
          <w:b/>
          <w:sz w:val="24"/>
          <w:rtl/>
          <w:cs w:val="1"/>
          <w:rFonts w:cs="Arial"/>
        </w:rPr>
        <w:t>6.2  פרשנות התוצאות</w:t>
      </w:r>
    </w:p>
    <w:p>
      <w:pPr>
        <w:bidi/>
        <w:jc w:val="right"/>
      </w:pPr>
      <w:r>
        <w:rPr>
          <w:rFonts w:ascii="Arial" w:hAnsi="Arial"/>
          <w:b w:val="0"/>
          <w:sz w:val="22"/>
          <w:rtl/>
          <w:cs w:val="1"/>
          <w:rFonts w:cs="Arial"/>
        </w:rPr>
        <w:t>ה-MTBF המחושב של 999,999,999 שעות (114155.3 שנים) מצביע על רמת אמינות גבוהה. המערכת עומדת בדרישות אמינות טיפוסיות לציוד רכוב (Airborne/Ground Fixed).</w:t>
      </w:r>
    </w:p>
    <w:p/>
    <w:p>
      <w:pPr>
        <w:bidi/>
        <w:jc w:val="right"/>
      </w:pPr>
      <w:r>
        <w:rPr>
          <w:rFonts w:ascii="Arial" w:hAnsi="Arial"/>
          <w:b/>
          <w:sz w:val="24"/>
          <w:rtl/>
          <w:cs w:val="1"/>
          <w:rFonts w:cs="Arial"/>
        </w:rPr>
        <w:t>6.3  המלצות</w:t>
      </w:r>
    </w:p>
    <w:p>
      <w:pPr>
        <w:bidi/>
        <w:jc w:val="right"/>
      </w:pPr>
      <w:r>
        <w:rPr>
          <w:rFonts w:ascii="Arial" w:hAnsi="Arial"/>
          <w:b w:val="0"/>
          <w:sz w:val="22"/>
          <w:rtl/>
          <w:cs w:val="1"/>
          <w:rFonts w:cs="Arial"/>
        </w:rPr>
        <w:t>• ביצוע Thermal Management לרכיבים בעלי π_T גבוה (ICs, Power devices)</w:t>
      </w:r>
    </w:p>
    <w:p>
      <w:pPr>
        <w:bidi/>
        <w:jc w:val="right"/>
      </w:pPr>
      <w:r>
        <w:rPr>
          <w:rFonts w:ascii="Arial" w:hAnsi="Arial"/>
          <w:b w:val="0"/>
          <w:sz w:val="22"/>
          <w:rtl/>
          <w:cs w:val="1"/>
          <w:rFonts w:cs="Arial"/>
        </w:rPr>
        <w:t>• שדרוג רמת האיכות לרכיבים קריטיים מ-C לרמת B-2 ומעלה</w:t>
      </w:r>
    </w:p>
    <w:p>
      <w:pPr>
        <w:bidi/>
        <w:jc w:val="right"/>
      </w:pPr>
      <w:r>
        <w:rPr>
          <w:rFonts w:ascii="Arial" w:hAnsi="Arial"/>
          <w:b w:val="0"/>
          <w:sz w:val="22"/>
          <w:rtl/>
          <w:cs w:val="1"/>
          <w:rFonts w:cs="Arial"/>
        </w:rPr>
        <w:t>• הוספת Derating לרכיבים הפועלים מעל 70% מעומסם המרבי</w:t>
      </w:r>
    </w:p>
    <w:p>
      <w:pPr>
        <w:bidi/>
        <w:jc w:val="right"/>
      </w:pPr>
      <w:r>
        <w:rPr>
          <w:rFonts w:ascii="Arial" w:hAnsi="Arial"/>
          <w:b w:val="0"/>
          <w:sz w:val="22"/>
          <w:rtl/>
          <w:cs w:val="1"/>
          <w:rFonts w:cs="Arial"/>
        </w:rPr>
        <w:t>• ביצוע Burn-In להפחתת כשלות ינקות (Infant Mortality)</w:t>
      </w:r>
    </w:p>
    <w:p>
      <w:pPr>
        <w:bidi/>
        <w:jc w:val="right"/>
      </w:pPr>
      <w:r>
        <w:rPr>
          <w:rFonts w:ascii="Arial" w:hAnsi="Arial"/>
          <w:b w:val="0"/>
          <w:sz w:val="22"/>
          <w:rtl/>
          <w:cs w:val="1"/>
          <w:rFonts w:cs="Arial"/>
        </w:rPr>
        <w:t>• עדכון ניתוח זה בכל שינוי ב-BOM, בתנאי הסביבה, או ברמת האיכות</w:t>
      </w:r>
    </w:p>
    <w:p/>
    <w:p>
      <w:r>
        <w:t>──────────────────────────────────────────────────────────────────────</w:t>
      </w:r>
    </w:p>
    <w:p>
      <w:pPr>
        <w:bidi/>
        <w:jc w:val="right"/>
      </w:pPr>
      <w:r>
        <w:rPr>
          <w:rFonts w:ascii="Arial" w:hAnsi="Arial"/>
          <w:b w:val="0"/>
          <w:color w:val="888888"/>
          <w:sz w:val="18"/>
          <w:rtl/>
          <w:cs w:val="1"/>
          <w:rFonts w:cs="Arial"/>
        </w:rPr>
        <w:t>מסמך זה הופק אוטומטית על ידי כלי ניתוח האמינות. יש לאמת את הנחות הקלט לפני שימוש בתוצאות.</w:t>
      </w:r>
    </w:p>
    <w:sectPr w:bidi="1"/>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