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single" w:color="354C3A" w:sz="4"/>
          <w:right w:val="none"/>
          <w:insideH w:val="none"/>
          <w:insideV w:val="none"/>
        </w:tblBorders>
      </w:tblPr>
      <w:tblGrid>
        <w:gridCol w:w="5200"/>
        <w:gridCol w:w="4160"/>
      </w:tblGrid>
      <w:tr>
        <w:tc>
          <w:tcPr>
            <w:tcW w:type="dxa" w:w="5200"/>
            <w:tcMar>
              <w:bottom w:type="dxa" w:w="100"/>
            </w:tcMar>
          </w:tcPr>
          <w:p>
            <w:r>
              <w:rPr>
                <w:rFonts w:ascii="Calibri" w:cs="Calibri" w:eastAsia="Calibri" w:hAnsi="Calibri"/>
                <w:b/>
                <w:bCs/>
                <w:color w:val="354C3A"/>
                <w:spacing w:val="80"/>
                <w:sz w:val="30"/>
                <w:szCs w:val="30"/>
              </w:rPr>
              <w:t xml:space="preserve">ALUXRIA</w:t>
            </w:r>
          </w:p>
          <w:p>
            <w:pPr>
              <w:spacing w:before="20"/>
            </w:pPr>
            <w:r>
              <w:rPr>
                <w:rFonts w:ascii="Calibri" w:cs="Calibri" w:eastAsia="Calibri" w:hAnsi="Calibri"/>
                <w:color w:val="998D7A"/>
                <w:spacing w:val="40"/>
                <w:sz w:val="15"/>
                <w:szCs w:val="15"/>
              </w:rPr>
              <w:t xml:space="preserve">LUXURY SPACES IN ALL PLACES</w:t>
            </w:r>
          </w:p>
        </w:tc>
        <w:tc>
          <w:tcPr>
            <w:tcW w:type="dxa" w:w="4160"/>
            <w:tcMar>
              <w:bottom w:type="dxa" w:w="100"/>
            </w:tcMar>
          </w:tcPr>
          <w:p>
            <w:pPr>
              <w:jc w:val="right"/>
            </w:pPr>
            <w:r>
              <w:rPr>
                <w:rFonts w:ascii="Calibri" w:cs="Calibri" w:eastAsia="Calibri" w:hAnsi="Calibri"/>
                <w:b/>
                <w:bCs/>
                <w:color w:val="233328"/>
                <w:spacing w:val="30"/>
                <w:sz w:val="16"/>
                <w:szCs w:val="16"/>
              </w:rPr>
              <w:t xml:space="preserve">CAPABILITY STATEMENT</w:t>
            </w:r>
          </w:p>
          <w:p>
            <w:pPr>
              <w:spacing w:before="20"/>
              <w:jc w:val="right"/>
            </w:pPr>
            <w:r>
              <w:rPr>
                <w:rFonts w:ascii="Calibri" w:cs="Calibri" w:eastAsia="Calibri" w:hAnsi="Calibri"/>
                <w:color w:val="998D7A"/>
                <w:sz w:val="15"/>
                <w:szCs w:val="15"/>
              </w:rPr>
              <w:t xml:space="preserve">Prepared for ICN  ·  2026  ·  aluxria.com</w:t>
            </w:r>
          </w:p>
        </w:tc>
      </w:tr>
    </w:tbl>
    <w:p>
      <w:pPr>
        <w:spacing w:after="60" w:before="260"/>
      </w:pPr>
      <w:r>
        <w:rPr>
          <w:rFonts w:ascii="Calibri" w:cs="Calibri" w:eastAsia="Calibri" w:hAnsi="Calibri"/>
          <w:b/>
          <w:bCs/>
          <w:color w:val="354C3A"/>
          <w:spacing w:val="40"/>
          <w:sz w:val="15"/>
          <w:szCs w:val="15"/>
        </w:rPr>
        <w:t xml:space="preserve">FIRST NATIONS–LED MODULAR CONSTRUCTION</w:t>
      </w:r>
    </w:p>
    <w:p>
      <w:pPr>
        <w:spacing w:after="140" w:line="300"/>
      </w:pPr>
      <w:r>
        <w:rPr>
          <w:rFonts w:ascii="Calibri" w:cs="Calibri" w:eastAsia="Calibri" w:hAnsi="Calibri"/>
          <w:b/>
          <w:bCs/>
          <w:color w:val="233328"/>
          <w:sz w:val="30"/>
          <w:szCs w:val="30"/>
        </w:rPr>
        <w:t xml:space="preserve">Precision-built, NCC-certified accommodation for Australia's renewable energy, resources, infrastructure and community-housing programs.</w:t>
      </w:r>
    </w:p>
    <w:p>
      <w:pPr>
        <w:spacing w:after="180" w:line="264"/>
      </w:pPr>
      <w:r>
        <w:rPr>
          <w:rFonts w:ascii="Calibri" w:cs="Calibri" w:eastAsia="Calibri" w:hAnsi="Calibri"/>
          <w:color w:val="4A5950"/>
          <w:sz w:val="20"/>
          <w:szCs w:val="20"/>
        </w:rPr>
        <w:t xml:space="preserve">Aluxria designs, manufactures and supplies relocatable modular buildings engineered for a 50-year service life and Australian environmental extremes. We deliver at scale through a First Nations–led consortium, and we steward every asset across its full lifecycle under the Aluxria Care framework — so the accommodation a project pays for becomes durable value for the region that hosts it.</w:t>
      </w:r>
    </w:p>
    <w:p>
      <w:pPr>
        <w:spacing w:after="60" w:before="260"/>
      </w:pPr>
      <w:r>
        <w:rPr>
          <w:rFonts w:ascii="Calibri" w:cs="Calibri" w:eastAsia="Calibri" w:hAnsi="Calibri"/>
          <w:b/>
          <w:bCs/>
          <w:color w:val="354C3A"/>
          <w:spacing w:val="40"/>
          <w:sz w:val="15"/>
          <w:szCs w:val="15"/>
        </w:rPr>
        <w:t xml:space="preserve">AT A GLANCE</w:t>
      </w:r>
    </w:p>
    <w:tbl>
      <w:tblPr>
        <w:tblW w:type="dxa" w:w="9360"/>
        <w:tblBorders>
          <w:top w:val="single" w:color="354C3A" w:sz="4"/>
          <w:left w:val="none"/>
          <w:bottom w:val="single" w:color="CBC3B3" w:sz="2"/>
          <w:right w:val="none"/>
          <w:insideH w:val="single" w:color="CBC3B3" w:sz="2"/>
          <w:insideV w:val="none"/>
        </w:tblBorders>
      </w:tblPr>
      <w:tblGrid>
        <w:gridCol w:w="3200"/>
        <w:gridCol w:w="6160"/>
      </w:tblGrid>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PRODUCTION</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Up to 100 units per month (single facility; extendable via consortium partners)</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SERVICE LIFE</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50+ years designed service life</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RATINGS</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NCC certified (Class 1, 2 &amp; 3); BAL-FZ bushfire and cyclone-rated</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DELIVERY</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Crane-liftable, pier / screw-pile founded; staged quarterly to workforce ramp-up</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CAPACITY</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20 to 400+ beds demonstrated</w:t>
            </w:r>
          </w:p>
        </w:tc>
      </w:tr>
    </w:tbl>
    <w:p>
      <w:pPr>
        <w:spacing w:after="60" w:before="260"/>
      </w:pPr>
      <w:r>
        <w:rPr>
          <w:rFonts w:ascii="Calibri" w:cs="Calibri" w:eastAsia="Calibri" w:hAnsi="Calibri"/>
          <w:b/>
          <w:bCs/>
          <w:color w:val="354C3A"/>
          <w:spacing w:val="40"/>
          <w:sz w:val="15"/>
          <w:szCs w:val="15"/>
        </w:rPr>
        <w:t xml:space="preserve">WHAT WE DO</w:t>
      </w:r>
    </w:p>
    <w:p>
      <w:pPr>
        <w:pStyle w:val="Heading2"/>
        <w:spacing w:after="80" w:before="120"/>
      </w:pPr>
      <w:r>
        <w:rPr>
          <w:rFonts w:ascii="Calibri" w:cs="Calibri" w:eastAsia="Calibri" w:hAnsi="Calibri"/>
          <w:b/>
          <w:bCs/>
          <w:color w:val="233328"/>
          <w:sz w:val="24"/>
          <w:szCs w:val="24"/>
        </w:rPr>
        <w:t xml:space="preserve">Design &amp; manufacture</w:t>
      </w:r>
    </w:p>
    <w:p>
      <w:pPr>
        <w:spacing w:after="120" w:line="264"/>
      </w:pPr>
      <w:r>
        <w:rPr>
          <w:rFonts w:ascii="Calibri" w:cs="Calibri" w:eastAsia="Calibri" w:hAnsi="Calibri"/>
          <w:color w:val="4A5950"/>
          <w:sz w:val="20"/>
          <w:szCs w:val="20"/>
        </w:rPr>
        <w:t xml:space="preserve">Modular accommodation designed and built to the National Construction Code. S70 and S40 systems, BAL-FZ bushfire and cyclone-rated, engineered for remote and regional Australian conditions. Digitally gated factory quality assurance prior to dispatch.</w:t>
      </w:r>
    </w:p>
    <w:p>
      <w:pPr>
        <w:pStyle w:val="Heading2"/>
        <w:spacing w:after="80" w:before="120"/>
      </w:pPr>
      <w:r>
        <w:rPr>
          <w:rFonts w:ascii="Calibri" w:cs="Calibri" w:eastAsia="Calibri" w:hAnsi="Calibri"/>
          <w:b/>
          <w:bCs/>
          <w:color w:val="233328"/>
          <w:sz w:val="24"/>
          <w:szCs w:val="24"/>
        </w:rPr>
        <w:t xml:space="preserve">Supply, install &amp; scale</w:t>
      </w:r>
    </w:p>
    <w:p>
      <w:pPr>
        <w:spacing w:after="120" w:line="264"/>
      </w:pPr>
      <w:r>
        <w:rPr>
          <w:rFonts w:ascii="Calibri" w:cs="Calibri" w:eastAsia="Calibri" w:hAnsi="Calibri"/>
          <w:color w:val="4A5950"/>
          <w:sz w:val="20"/>
          <w:szCs w:val="20"/>
        </w:rPr>
        <w:t xml:space="preserve">Crane-liftable, pier and screw-pile foundations — no permanent slab, no rezoning. Staged quarterly delivery aligned to workforce ramp-up. Production capacity to 100 units per month, extendable through consortium partners for large programs.</w:t>
      </w:r>
    </w:p>
    <w:p>
      <w:pPr>
        <w:pStyle w:val="Heading2"/>
        <w:spacing w:after="80" w:before="120"/>
      </w:pPr>
      <w:r>
        <w:rPr>
          <w:rFonts w:ascii="Calibri" w:cs="Calibri" w:eastAsia="Calibri" w:hAnsi="Calibri"/>
          <w:b/>
          <w:bCs/>
          <w:color w:val="233328"/>
          <w:sz w:val="24"/>
          <w:szCs w:val="24"/>
        </w:rPr>
        <w:t xml:space="preserve">Lifecycle stewardship</w:t>
      </w:r>
    </w:p>
    <w:p>
      <w:pPr>
        <w:spacing w:after="40" w:line="264"/>
      </w:pPr>
      <w:r>
        <w:rPr>
          <w:rFonts w:ascii="Calibri" w:cs="Calibri" w:eastAsia="Calibri" w:hAnsi="Calibri"/>
          <w:color w:val="4A5950"/>
          <w:sz w:val="20"/>
          <w:szCs w:val="20"/>
        </w:rPr>
        <w:t xml:space="preserve">Every building carries an Aluxria Care Asset Passport and transparent Care Score, backed by a 7-to-10+ year warranty and a 50-year service architecture. Fully relocatable and re-deployable — engineered for reuse across multiple project lifecycles.</w:t>
      </w:r>
    </w:p>
    <w:p>
      <w:r>
        <w:br w:type="page"/>
      </w:r>
    </w:p>
    <w:p>
      <w:pPr>
        <w:spacing w:after="60" w:before="260"/>
      </w:pPr>
      <w:r>
        <w:rPr>
          <w:rFonts w:ascii="Calibri" w:cs="Calibri" w:eastAsia="Calibri" w:hAnsi="Calibri"/>
          <w:b/>
          <w:bCs/>
          <w:color w:val="354C3A"/>
          <w:spacing w:val="40"/>
          <w:sz w:val="15"/>
          <w:szCs w:val="15"/>
        </w:rPr>
        <w:t xml:space="preserve">CORE CAPABILITIES</w:t>
      </w:r>
    </w:p>
    <w:p>
      <w:pPr>
        <w:pStyle w:val="Heading2"/>
        <w:spacing w:after="80" w:before="120"/>
      </w:pPr>
      <w:r>
        <w:rPr>
          <w:rFonts w:ascii="Calibri" w:cs="Calibri" w:eastAsia="Calibri" w:hAnsi="Calibri"/>
          <w:b/>
          <w:bCs/>
          <w:color w:val="233328"/>
          <w:sz w:val="24"/>
          <w:szCs w:val="24"/>
        </w:rPr>
        <w:t xml:space="preserve">Modular design &amp; engineering</w:t>
      </w:r>
    </w:p>
    <w:p>
      <w:pPr>
        <w:pStyle w:val="ListParagraph"/>
        <w:numPr>
          <w:ilvl w:val="0"/>
          <w:numId w:val="2"/>
        </w:numPr>
        <w:spacing w:after="40" w:line="252"/>
      </w:pPr>
      <w:r>
        <w:rPr>
          <w:rFonts w:ascii="Calibri" w:cs="Calibri" w:eastAsia="Calibri" w:hAnsi="Calibri"/>
          <w:color w:val="4A5950"/>
          <w:sz w:val="19"/>
          <w:szCs w:val="19"/>
        </w:rPr>
        <w:t xml:space="preserve">NCC Class 1, 2 and 3 building types</w:t>
      </w:r>
    </w:p>
    <w:p>
      <w:pPr>
        <w:pStyle w:val="ListParagraph"/>
        <w:numPr>
          <w:ilvl w:val="0"/>
          <w:numId w:val="2"/>
        </w:numPr>
        <w:spacing w:after="40" w:line="252"/>
      </w:pPr>
      <w:r>
        <w:rPr>
          <w:rFonts w:ascii="Calibri" w:cs="Calibri" w:eastAsia="Calibri" w:hAnsi="Calibri"/>
          <w:color w:val="4A5950"/>
          <w:sz w:val="19"/>
          <w:szCs w:val="19"/>
        </w:rPr>
        <w:t xml:space="preserve">S70 and S40 modular systems</w:t>
      </w:r>
    </w:p>
    <w:p>
      <w:pPr>
        <w:pStyle w:val="ListParagraph"/>
        <w:numPr>
          <w:ilvl w:val="0"/>
          <w:numId w:val="2"/>
        </w:numPr>
        <w:spacing w:after="40" w:line="252"/>
      </w:pPr>
      <w:r>
        <w:rPr>
          <w:rFonts w:ascii="Calibri" w:cs="Calibri" w:eastAsia="Calibri" w:hAnsi="Calibri"/>
          <w:color w:val="4A5950"/>
          <w:sz w:val="19"/>
          <w:szCs w:val="19"/>
        </w:rPr>
        <w:t xml:space="preserve">BAL-FZ and cyclone-rated envelopes</w:t>
      </w:r>
    </w:p>
    <w:p>
      <w:pPr>
        <w:pStyle w:val="ListParagraph"/>
        <w:numPr>
          <w:ilvl w:val="0"/>
          <w:numId w:val="2"/>
        </w:numPr>
        <w:spacing w:after="40" w:line="252"/>
      </w:pPr>
      <w:r>
        <w:rPr>
          <w:rFonts w:ascii="Calibri" w:cs="Calibri" w:eastAsia="Calibri" w:hAnsi="Calibri"/>
          <w:color w:val="4A5950"/>
          <w:sz w:val="19"/>
          <w:szCs w:val="19"/>
        </w:rPr>
        <w:t xml:space="preserve">Solar microgrid and rainwater-capture ready</w:t>
      </w:r>
    </w:p>
    <w:p>
      <w:pPr>
        <w:pStyle w:val="Heading2"/>
        <w:spacing w:after="80" w:before="120"/>
      </w:pPr>
      <w:r>
        <w:rPr>
          <w:rFonts w:ascii="Calibri" w:cs="Calibri" w:eastAsia="Calibri" w:hAnsi="Calibri"/>
          <w:b/>
          <w:bCs/>
          <w:color w:val="233328"/>
          <w:sz w:val="24"/>
          <w:szCs w:val="24"/>
        </w:rPr>
        <w:t xml:space="preserve">Manufacture &amp; quality</w:t>
      </w:r>
    </w:p>
    <w:p>
      <w:pPr>
        <w:pStyle w:val="ListParagraph"/>
        <w:numPr>
          <w:ilvl w:val="0"/>
          <w:numId w:val="2"/>
        </w:numPr>
        <w:spacing w:after="40" w:line="252"/>
      </w:pPr>
      <w:r>
        <w:rPr>
          <w:rFonts w:ascii="Calibri" w:cs="Calibri" w:eastAsia="Calibri" w:hAnsi="Calibri"/>
          <w:color w:val="4A5950"/>
          <w:sz w:val="19"/>
          <w:szCs w:val="19"/>
        </w:rPr>
        <w:t xml:space="preserve">Up to 100 units per month, single facility</w:t>
      </w:r>
    </w:p>
    <w:p>
      <w:pPr>
        <w:pStyle w:val="ListParagraph"/>
        <w:numPr>
          <w:ilvl w:val="0"/>
          <w:numId w:val="2"/>
        </w:numPr>
        <w:spacing w:after="40" w:line="252"/>
      </w:pPr>
      <w:r>
        <w:rPr>
          <w:rFonts w:ascii="Calibri" w:cs="Calibri" w:eastAsia="Calibri" w:hAnsi="Calibri"/>
          <w:color w:val="4A5950"/>
          <w:sz w:val="19"/>
          <w:szCs w:val="19"/>
        </w:rPr>
        <w:t xml:space="preserve">Digitally gated quality assurance prior to dispatch</w:t>
      </w:r>
    </w:p>
    <w:p>
      <w:pPr>
        <w:pStyle w:val="ListParagraph"/>
        <w:numPr>
          <w:ilvl w:val="0"/>
          <w:numId w:val="2"/>
        </w:numPr>
        <w:spacing w:after="40" w:line="252"/>
      </w:pPr>
      <w:r>
        <w:rPr>
          <w:rFonts w:ascii="Calibri" w:cs="Calibri" w:eastAsia="Calibri" w:hAnsi="Calibri"/>
          <w:color w:val="4A5950"/>
          <w:sz w:val="19"/>
          <w:szCs w:val="19"/>
        </w:rPr>
        <w:t xml:space="preserve">Extendable capacity via consortium partners</w:t>
      </w:r>
    </w:p>
    <w:p>
      <w:pPr>
        <w:pStyle w:val="ListParagraph"/>
        <w:numPr>
          <w:ilvl w:val="0"/>
          <w:numId w:val="2"/>
        </w:numPr>
        <w:spacing w:after="40" w:line="252"/>
      </w:pPr>
      <w:r>
        <w:rPr>
          <w:rFonts w:ascii="Calibri" w:cs="Calibri" w:eastAsia="Calibri" w:hAnsi="Calibri"/>
          <w:color w:val="4A5950"/>
          <w:sz w:val="19"/>
          <w:szCs w:val="19"/>
        </w:rPr>
        <w:t xml:space="preserve">Australian data residency for asset records</w:t>
      </w:r>
    </w:p>
    <w:p>
      <w:pPr>
        <w:pStyle w:val="Heading2"/>
        <w:spacing w:after="80" w:before="120"/>
      </w:pPr>
      <w:r>
        <w:rPr>
          <w:rFonts w:ascii="Calibri" w:cs="Calibri" w:eastAsia="Calibri" w:hAnsi="Calibri"/>
          <w:b/>
          <w:bCs/>
          <w:color w:val="233328"/>
          <w:sz w:val="24"/>
          <w:szCs w:val="24"/>
        </w:rPr>
        <w:t xml:space="preserve">Delivery &amp; installation</w:t>
      </w:r>
    </w:p>
    <w:p>
      <w:pPr>
        <w:pStyle w:val="ListParagraph"/>
        <w:numPr>
          <w:ilvl w:val="0"/>
          <w:numId w:val="2"/>
        </w:numPr>
        <w:spacing w:after="40" w:line="252"/>
      </w:pPr>
      <w:r>
        <w:rPr>
          <w:rFonts w:ascii="Calibri" w:cs="Calibri" w:eastAsia="Calibri" w:hAnsi="Calibri"/>
          <w:color w:val="4A5950"/>
          <w:sz w:val="19"/>
          <w:szCs w:val="19"/>
        </w:rPr>
        <w:t xml:space="preserve">Crane-liftable, pier / screw-pile founded</w:t>
      </w:r>
    </w:p>
    <w:p>
      <w:pPr>
        <w:pStyle w:val="ListParagraph"/>
        <w:numPr>
          <w:ilvl w:val="0"/>
          <w:numId w:val="2"/>
        </w:numPr>
        <w:spacing w:after="40" w:line="252"/>
      </w:pPr>
      <w:r>
        <w:rPr>
          <w:rFonts w:ascii="Calibri" w:cs="Calibri" w:eastAsia="Calibri" w:hAnsi="Calibri"/>
          <w:color w:val="4A5950"/>
          <w:sz w:val="19"/>
          <w:szCs w:val="19"/>
        </w:rPr>
        <w:t xml:space="preserve">No permanent slab, no rezoning required</w:t>
      </w:r>
    </w:p>
    <w:p>
      <w:pPr>
        <w:pStyle w:val="ListParagraph"/>
        <w:numPr>
          <w:ilvl w:val="0"/>
          <w:numId w:val="2"/>
        </w:numPr>
        <w:spacing w:after="40" w:line="252"/>
      </w:pPr>
      <w:r>
        <w:rPr>
          <w:rFonts w:ascii="Calibri" w:cs="Calibri" w:eastAsia="Calibri" w:hAnsi="Calibri"/>
          <w:color w:val="4A5950"/>
          <w:sz w:val="19"/>
          <w:szCs w:val="19"/>
        </w:rPr>
        <w:t xml:space="preserve">Quarterly staged delivery aligned to ramp-up</w:t>
      </w:r>
    </w:p>
    <w:p>
      <w:pPr>
        <w:pStyle w:val="ListParagraph"/>
        <w:numPr>
          <w:ilvl w:val="0"/>
          <w:numId w:val="2"/>
        </w:numPr>
        <w:spacing w:after="40" w:line="252"/>
      </w:pPr>
      <w:r>
        <w:rPr>
          <w:rFonts w:ascii="Calibri" w:cs="Calibri" w:eastAsia="Calibri" w:hAnsi="Calibri"/>
          <w:color w:val="4A5950"/>
          <w:sz w:val="19"/>
          <w:szCs w:val="19"/>
        </w:rPr>
        <w:t xml:space="preserve">Full village infrastructure, not modules alone</w:t>
      </w:r>
    </w:p>
    <w:p>
      <w:pPr>
        <w:pStyle w:val="Heading2"/>
        <w:spacing w:after="80" w:before="120"/>
      </w:pPr>
      <w:r>
        <w:rPr>
          <w:rFonts w:ascii="Calibri" w:cs="Calibri" w:eastAsia="Calibri" w:hAnsi="Calibri"/>
          <w:b/>
          <w:bCs/>
          <w:color w:val="233328"/>
          <w:sz w:val="24"/>
          <w:szCs w:val="24"/>
        </w:rPr>
        <w:t xml:space="preserve">Lifecycle &amp; asset care</w:t>
      </w:r>
    </w:p>
    <w:p>
      <w:pPr>
        <w:pStyle w:val="ListParagraph"/>
        <w:numPr>
          <w:ilvl w:val="0"/>
          <w:numId w:val="2"/>
        </w:numPr>
        <w:spacing w:after="40" w:line="252"/>
      </w:pPr>
      <w:r>
        <w:rPr>
          <w:rFonts w:ascii="Calibri" w:cs="Calibri" w:eastAsia="Calibri" w:hAnsi="Calibri"/>
          <w:color w:val="4A5950"/>
          <w:sz w:val="19"/>
          <w:szCs w:val="19"/>
        </w:rPr>
        <w:t xml:space="preserve">Tamper-evident digital Asset Passport</w:t>
      </w:r>
    </w:p>
    <w:p>
      <w:pPr>
        <w:pStyle w:val="ListParagraph"/>
        <w:numPr>
          <w:ilvl w:val="0"/>
          <w:numId w:val="2"/>
        </w:numPr>
        <w:spacing w:after="40" w:line="252"/>
      </w:pPr>
      <w:r>
        <w:rPr>
          <w:rFonts w:ascii="Calibri" w:cs="Calibri" w:eastAsia="Calibri" w:hAnsi="Calibri"/>
          <w:color w:val="4A5950"/>
          <w:sz w:val="19"/>
          <w:szCs w:val="19"/>
        </w:rPr>
        <w:t xml:space="preserve">Transparent, point-based Care Score</w:t>
      </w:r>
    </w:p>
    <w:p>
      <w:pPr>
        <w:pStyle w:val="ListParagraph"/>
        <w:numPr>
          <w:ilvl w:val="0"/>
          <w:numId w:val="2"/>
        </w:numPr>
        <w:spacing w:after="40" w:line="252"/>
      </w:pPr>
      <w:r>
        <w:rPr>
          <w:rFonts w:ascii="Calibri" w:cs="Calibri" w:eastAsia="Calibri" w:hAnsi="Calibri"/>
          <w:color w:val="4A5950"/>
          <w:sz w:val="19"/>
          <w:szCs w:val="19"/>
        </w:rPr>
        <w:t xml:space="preserve">7-to-10+ year warranty; 50-year service life</w:t>
      </w:r>
    </w:p>
    <w:p>
      <w:pPr>
        <w:pStyle w:val="ListParagraph"/>
        <w:numPr>
          <w:ilvl w:val="0"/>
          <w:numId w:val="2"/>
        </w:numPr>
        <w:spacing w:after="40" w:line="252"/>
      </w:pPr>
      <w:r>
        <w:rPr>
          <w:rFonts w:ascii="Calibri" w:cs="Calibri" w:eastAsia="Calibri" w:hAnsi="Calibri"/>
          <w:color w:val="4A5950"/>
          <w:sz w:val="19"/>
          <w:szCs w:val="19"/>
        </w:rPr>
        <w:t xml:space="preserve">Certified Partner Network for regional service</w:t>
      </w:r>
    </w:p>
    <w:p>
      <w:pPr>
        <w:pStyle w:val="Heading2"/>
        <w:spacing w:after="80" w:before="120"/>
      </w:pPr>
      <w:r>
        <w:rPr>
          <w:rFonts w:ascii="Calibri" w:cs="Calibri" w:eastAsia="Calibri" w:hAnsi="Calibri"/>
          <w:b/>
          <w:bCs/>
          <w:color w:val="233328"/>
          <w:sz w:val="24"/>
          <w:szCs w:val="24"/>
        </w:rPr>
        <w:t xml:space="preserve">Relocation &amp; reuse</w:t>
      </w:r>
    </w:p>
    <w:p>
      <w:pPr>
        <w:pStyle w:val="ListParagraph"/>
        <w:numPr>
          <w:ilvl w:val="0"/>
          <w:numId w:val="2"/>
        </w:numPr>
        <w:spacing w:after="40" w:line="252"/>
      </w:pPr>
      <w:r>
        <w:rPr>
          <w:rFonts w:ascii="Calibri" w:cs="Calibri" w:eastAsia="Calibri" w:hAnsi="Calibri"/>
          <w:color w:val="4A5950"/>
          <w:sz w:val="19"/>
          <w:szCs w:val="19"/>
        </w:rPr>
        <w:t xml:space="preserve">Fully relocatable, crane-liftable systems</w:t>
      </w:r>
    </w:p>
    <w:p>
      <w:pPr>
        <w:pStyle w:val="ListParagraph"/>
        <w:numPr>
          <w:ilvl w:val="0"/>
          <w:numId w:val="2"/>
        </w:numPr>
        <w:spacing w:after="40" w:line="252"/>
      </w:pPr>
      <w:r>
        <w:rPr>
          <w:rFonts w:ascii="Calibri" w:cs="Calibri" w:eastAsia="Calibri" w:hAnsi="Calibri"/>
          <w:color w:val="4A5950"/>
          <w:sz w:val="19"/>
          <w:szCs w:val="19"/>
        </w:rPr>
        <w:t xml:space="preserve">Re-deployable to adjacent or new sites</w:t>
      </w:r>
    </w:p>
    <w:p>
      <w:pPr>
        <w:pStyle w:val="ListParagraph"/>
        <w:numPr>
          <w:ilvl w:val="0"/>
          <w:numId w:val="2"/>
        </w:numPr>
        <w:spacing w:after="40" w:line="252"/>
      </w:pPr>
      <w:r>
        <w:rPr>
          <w:rFonts w:ascii="Calibri" w:cs="Calibri" w:eastAsia="Calibri" w:hAnsi="Calibri"/>
          <w:color w:val="4A5950"/>
          <w:sz w:val="19"/>
          <w:szCs w:val="19"/>
        </w:rPr>
        <w:t xml:space="preserve">Certified Pre-Owned resale pathway</w:t>
      </w:r>
    </w:p>
    <w:p>
      <w:pPr>
        <w:pStyle w:val="ListParagraph"/>
        <w:numPr>
          <w:ilvl w:val="0"/>
          <w:numId w:val="2"/>
        </w:numPr>
        <w:spacing w:after="40" w:line="252"/>
      </w:pPr>
      <w:r>
        <w:rPr>
          <w:rFonts w:ascii="Calibri" w:cs="Calibri" w:eastAsia="Calibri" w:hAnsi="Calibri"/>
          <w:color w:val="4A5950"/>
          <w:sz w:val="19"/>
          <w:szCs w:val="19"/>
        </w:rPr>
        <w:t xml:space="preserve">Transition to community or key-worker housing</w:t>
      </w:r>
    </w:p>
    <w:p>
      <w:pPr>
        <w:pStyle w:val="Heading2"/>
        <w:spacing w:after="80" w:before="120"/>
      </w:pPr>
      <w:r>
        <w:rPr>
          <w:rFonts w:ascii="Calibri" w:cs="Calibri" w:eastAsia="Calibri" w:hAnsi="Calibri"/>
          <w:b/>
          <w:bCs/>
          <w:color w:val="233328"/>
          <w:sz w:val="24"/>
          <w:szCs w:val="24"/>
        </w:rPr>
        <w:t xml:space="preserve">Indigenous participation</w:t>
      </w:r>
    </w:p>
    <w:p>
      <w:pPr>
        <w:pStyle w:val="ListParagraph"/>
        <w:numPr>
          <w:ilvl w:val="0"/>
          <w:numId w:val="2"/>
        </w:numPr>
        <w:spacing w:after="40" w:line="252"/>
      </w:pPr>
      <w:r>
        <w:rPr>
          <w:rFonts w:ascii="Calibri" w:cs="Calibri" w:eastAsia="Calibri" w:hAnsi="Calibri"/>
          <w:color w:val="4A5950"/>
          <w:sz w:val="19"/>
          <w:szCs w:val="19"/>
        </w:rPr>
        <w:t xml:space="preserve">Supply Nation registered business</w:t>
      </w:r>
    </w:p>
    <w:p>
      <w:pPr>
        <w:pStyle w:val="ListParagraph"/>
        <w:numPr>
          <w:ilvl w:val="0"/>
          <w:numId w:val="2"/>
        </w:numPr>
        <w:spacing w:after="40" w:line="252"/>
      </w:pPr>
      <w:r>
        <w:rPr>
          <w:rFonts w:ascii="Calibri" w:cs="Calibri" w:eastAsia="Calibri" w:hAnsi="Calibri"/>
          <w:color w:val="4A5950"/>
          <w:sz w:val="19"/>
          <w:szCs w:val="19"/>
        </w:rPr>
        <w:t xml:space="preserve">Local employment and training on delivery</w:t>
      </w:r>
    </w:p>
    <w:p>
      <w:pPr>
        <w:pStyle w:val="ListParagraph"/>
        <w:numPr>
          <w:ilvl w:val="0"/>
          <w:numId w:val="2"/>
        </w:numPr>
        <w:spacing w:after="40" w:line="252"/>
      </w:pPr>
      <w:r>
        <w:rPr>
          <w:rFonts w:ascii="Calibri" w:cs="Calibri" w:eastAsia="Calibri" w:hAnsi="Calibri"/>
          <w:color w:val="4A5950"/>
          <w:sz w:val="19"/>
          <w:szCs w:val="19"/>
        </w:rPr>
        <w:t xml:space="preserve">First Nations subcontract and service packages</w:t>
      </w:r>
    </w:p>
    <w:p>
      <w:pPr>
        <w:pStyle w:val="ListParagraph"/>
        <w:numPr>
          <w:ilvl w:val="0"/>
          <w:numId w:val="2"/>
        </w:numPr>
        <w:spacing w:after="40" w:line="252"/>
      </w:pPr>
      <w:r>
        <w:rPr>
          <w:rFonts w:ascii="Calibri" w:cs="Calibri" w:eastAsia="Calibri" w:hAnsi="Calibri"/>
          <w:color w:val="4A5950"/>
          <w:sz w:val="19"/>
          <w:szCs w:val="19"/>
        </w:rPr>
        <w:t xml:space="preserve">Legacy asset pathways to Traditional Owner land</w:t>
      </w:r>
    </w:p>
    <w:p>
      <w:r>
        <w:br w:type="page"/>
      </w:r>
    </w:p>
    <w:p>
      <w:pPr>
        <w:spacing w:after="60" w:before="260"/>
      </w:pPr>
      <w:r>
        <w:rPr>
          <w:rFonts w:ascii="Calibri" w:cs="Calibri" w:eastAsia="Calibri" w:hAnsi="Calibri"/>
          <w:b/>
          <w:bCs/>
          <w:color w:val="354C3A"/>
          <w:spacing w:val="40"/>
          <w:sz w:val="15"/>
          <w:szCs w:val="15"/>
        </w:rPr>
        <w:t xml:space="preserve">THE ORGANISATION</w:t>
      </w:r>
    </w:p>
    <w:p>
      <w:pPr>
        <w:pStyle w:val="Heading2"/>
        <w:spacing w:after="80" w:before="120"/>
      </w:pPr>
      <w:r>
        <w:rPr>
          <w:rFonts w:ascii="Calibri" w:cs="Calibri" w:eastAsia="Calibri" w:hAnsi="Calibri"/>
          <w:b/>
          <w:bCs/>
          <w:color w:val="233328"/>
          <w:sz w:val="24"/>
          <w:szCs w:val="24"/>
        </w:rPr>
        <w:t xml:space="preserve">Who Aluxria is</w:t>
      </w:r>
    </w:p>
    <w:p>
      <w:pPr>
        <w:spacing w:after="120" w:line="264"/>
      </w:pPr>
      <w:r>
        <w:rPr>
          <w:rFonts w:ascii="Calibri" w:cs="Calibri" w:eastAsia="Calibri" w:hAnsi="Calibri"/>
          <w:color w:val="4A5950"/>
          <w:sz w:val="20"/>
          <w:szCs w:val="20"/>
        </w:rPr>
        <w:t xml:space="preserve">Aluxria is a First Nations–led modular construction business specialising in precision-built, relocatable accommodation for major Australian projects. We combine controlled factory manufacture with a lifecycle stewardship framework, and we deliver large programs through the First Nations–led HALO Village Delivery Consortium. A significant share of Aluxria's commercial profit funds the HALO Foundation's regional housing and First Nations community programs — commercial delivery and community benefit are structured as a single loop.</w:t>
      </w:r>
    </w:p>
    <w:tbl>
      <w:tblPr>
        <w:tblW w:type="dxa" w:w="9360"/>
        <w:tblBorders>
          <w:top w:val="single" w:color="354C3A" w:sz="4"/>
          <w:left w:val="none"/>
          <w:bottom w:val="single" w:color="CBC3B3" w:sz="2"/>
          <w:right w:val="none"/>
          <w:insideH w:val="single" w:color="CBC3B3" w:sz="2"/>
          <w:insideV w:val="none"/>
        </w:tblBorders>
      </w:tblPr>
      <w:tblGrid>
        <w:gridCol w:w="3200"/>
        <w:gridCol w:w="6160"/>
      </w:tblGrid>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CONSORTIUM DELIVERY</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Modular design, manufacture and supply partner within the HALO Village Delivery Consortium — alongside a First Nations–owned principal contractor, engineering and prefabrication capacity, and specialist civil and renewable-energy infrastructure partners.</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SECTORS SERVED</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Renewable energy; mining and resources; government and social infrastructure; essential-worker and affordable housing; eco-tourism; First Nations community housing.</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GEOGRAPHY</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Remote and regional Australia. Active engagement across NSW (Hunter, Central West), the Northern Territory and the Northern Rivers, with capability nationwide.</w:t>
            </w:r>
          </w:p>
        </w:tc>
      </w:tr>
    </w:tbl>
    <w:p>
      <w:pPr>
        <w:spacing w:after="60" w:before="260"/>
      </w:pPr>
      <w:r>
        <w:rPr>
          <w:rFonts w:ascii="Calibri" w:cs="Calibri" w:eastAsia="Calibri" w:hAnsi="Calibri"/>
          <w:b/>
          <w:bCs/>
          <w:color w:val="354C3A"/>
          <w:spacing w:val="40"/>
          <w:sz w:val="15"/>
          <w:szCs w:val="15"/>
        </w:rPr>
        <w:t xml:space="preserve">PRODUCTS &amp; TECHNICAL SPECIFICATION</w:t>
      </w:r>
    </w:p>
    <w:p>
      <w:pPr>
        <w:pStyle w:val="Heading2"/>
        <w:spacing w:after="80" w:before="120"/>
      </w:pPr>
      <w:r>
        <w:rPr>
          <w:rFonts w:ascii="Calibri" w:cs="Calibri" w:eastAsia="Calibri" w:hAnsi="Calibri"/>
          <w:b/>
          <w:bCs/>
          <w:color w:val="233328"/>
          <w:sz w:val="24"/>
          <w:szCs w:val="24"/>
        </w:rPr>
        <w:t xml:space="preserve">Modular systems</w:t>
      </w:r>
    </w:p>
    <w:tbl>
      <w:tblPr>
        <w:tblW w:type="dxa" w:w="9360"/>
        <w:tblBorders>
          <w:top w:val="single" w:color="354C3A" w:sz="4"/>
          <w:left w:val="none"/>
          <w:bottom w:val="single" w:color="CBC3B3" w:sz="2"/>
          <w:right w:val="none"/>
          <w:insideH w:val="single" w:color="CBC3B3" w:sz="2"/>
          <w:insideV w:val="none"/>
        </w:tblBorders>
      </w:tblPr>
      <w:tblGrid>
        <w:gridCol w:w="3200"/>
        <w:gridCol w:w="6160"/>
      </w:tblGrid>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SYSTEMS</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S70 &amp; S40 modular</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NCC CLASSES</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Class 1, 2 &amp; 3</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BUSHFIRE</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To BAL-FZ (flame zone)</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WIND</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Cyclone-rated regions</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FOUNDATION</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Pier / screw-pile; no permanent slab</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RELOCATABLE</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Crane-liftable; redeployable</w:t>
            </w:r>
          </w:p>
        </w:tc>
      </w:tr>
    </w:tbl>
    <w:p>
      <w:pPr>
        <w:pStyle w:val="Heading2"/>
        <w:spacing w:after="80" w:before="120"/>
      </w:pPr>
      <w:r>
        <w:rPr>
          <w:rFonts w:ascii="Calibri" w:cs="Calibri" w:eastAsia="Calibri" w:hAnsi="Calibri"/>
          <w:b/>
          <w:bCs/>
          <w:color w:val="233328"/>
          <w:sz w:val="24"/>
          <w:szCs w:val="24"/>
        </w:rPr>
        <w:t xml:space="preserve">What we build</w:t>
      </w:r>
    </w:p>
    <w:p>
      <w:pPr>
        <w:spacing w:after="60" w:line="264"/>
      </w:pPr>
      <w:r>
        <w:rPr>
          <w:rFonts w:ascii="Calibri" w:cs="Calibri" w:eastAsia="Calibri" w:hAnsi="Calibri"/>
          <w:color w:val="4A5950"/>
          <w:sz w:val="20"/>
          <w:szCs w:val="20"/>
        </w:rPr>
        <w:t xml:space="preserve">Complete village infrastructure, not accommodation modules alone:</w:t>
      </w:r>
    </w:p>
    <w:p>
      <w:pPr>
        <w:pStyle w:val="ListParagraph"/>
        <w:numPr>
          <w:ilvl w:val="0"/>
          <w:numId w:val="2"/>
        </w:numPr>
        <w:spacing w:after="40" w:line="252"/>
      </w:pPr>
      <w:r>
        <w:rPr>
          <w:rFonts w:ascii="Calibri" w:cs="Calibri" w:eastAsia="Calibri" w:hAnsi="Calibri"/>
          <w:color w:val="4A5950"/>
          <w:sz w:val="19"/>
          <w:szCs w:val="19"/>
        </w:rPr>
        <w:t xml:space="preserve">Private dwellings and amenities</w:t>
      </w:r>
    </w:p>
    <w:p>
      <w:pPr>
        <w:pStyle w:val="ListParagraph"/>
        <w:numPr>
          <w:ilvl w:val="0"/>
          <w:numId w:val="2"/>
        </w:numPr>
        <w:spacing w:after="40" w:line="252"/>
      </w:pPr>
      <w:r>
        <w:rPr>
          <w:rFonts w:ascii="Calibri" w:cs="Calibri" w:eastAsia="Calibri" w:hAnsi="Calibri"/>
          <w:color w:val="4A5950"/>
          <w:sz w:val="19"/>
          <w:szCs w:val="19"/>
        </w:rPr>
        <w:t xml:space="preserve">Dining, kitchen and laundry facilities</w:t>
      </w:r>
    </w:p>
    <w:p>
      <w:pPr>
        <w:pStyle w:val="ListParagraph"/>
        <w:numPr>
          <w:ilvl w:val="0"/>
          <w:numId w:val="2"/>
        </w:numPr>
        <w:spacing w:after="40" w:line="252"/>
      </w:pPr>
      <w:r>
        <w:rPr>
          <w:rFonts w:ascii="Calibri" w:cs="Calibri" w:eastAsia="Calibri" w:hAnsi="Calibri"/>
          <w:color w:val="4A5950"/>
          <w:sz w:val="19"/>
          <w:szCs w:val="19"/>
        </w:rPr>
        <w:t xml:space="preserve">Gym, wellness and recovery spaces</w:t>
      </w:r>
    </w:p>
    <w:p>
      <w:pPr>
        <w:pStyle w:val="ListParagraph"/>
        <w:numPr>
          <w:ilvl w:val="0"/>
          <w:numId w:val="2"/>
        </w:numPr>
        <w:spacing w:after="40" w:line="252"/>
      </w:pPr>
      <w:r>
        <w:rPr>
          <w:rFonts w:ascii="Calibri" w:cs="Calibri" w:eastAsia="Calibri" w:hAnsi="Calibri"/>
          <w:color w:val="4A5950"/>
          <w:sz w:val="19"/>
          <w:szCs w:val="19"/>
        </w:rPr>
        <w:t xml:space="preserve">Training rooms and communal buildings</w:t>
      </w:r>
    </w:p>
    <w:p>
      <w:pPr>
        <w:pStyle w:val="ListParagraph"/>
        <w:numPr>
          <w:ilvl w:val="0"/>
          <w:numId w:val="2"/>
        </w:numPr>
        <w:spacing w:after="40" w:line="252"/>
      </w:pPr>
      <w:r>
        <w:rPr>
          <w:rFonts w:ascii="Calibri" w:cs="Calibri" w:eastAsia="Calibri" w:hAnsi="Calibri"/>
          <w:color w:val="4A5950"/>
          <w:sz w:val="19"/>
          <w:szCs w:val="19"/>
        </w:rPr>
        <w:t xml:space="preserve">Landscaped zones, walking paths and gardens</w:t>
      </w:r>
    </w:p>
    <w:p>
      <w:pPr>
        <w:pStyle w:val="ListParagraph"/>
        <w:numPr>
          <w:ilvl w:val="0"/>
          <w:numId w:val="2"/>
        </w:numPr>
        <w:spacing w:after="40" w:line="252"/>
      </w:pPr>
      <w:r>
        <w:rPr>
          <w:rFonts w:ascii="Calibri" w:cs="Calibri" w:eastAsia="Calibri" w:hAnsi="Calibri"/>
          <w:color w:val="4A5950"/>
          <w:sz w:val="19"/>
          <w:szCs w:val="19"/>
        </w:rPr>
        <w:t xml:space="preserve">Solar microgrid, rainwater capture and water management</w:t>
      </w:r>
    </w:p>
    <w:p>
      <w:pPr>
        <w:pStyle w:val="Heading2"/>
        <w:spacing w:after="80" w:before="120"/>
      </w:pPr>
      <w:r>
        <w:rPr>
          <w:rFonts w:ascii="Calibri" w:cs="Calibri" w:eastAsia="Calibri" w:hAnsi="Calibri"/>
          <w:b/>
          <w:bCs/>
          <w:color w:val="233328"/>
          <w:sz w:val="24"/>
          <w:szCs w:val="24"/>
        </w:rPr>
        <w:t xml:space="preserve">Scale &amp; schedule</w:t>
      </w:r>
    </w:p>
    <w:tbl>
      <w:tblPr>
        <w:tblW w:type="dxa" w:w="9360"/>
        <w:tblBorders>
          <w:top w:val="single" w:color="354C3A" w:sz="4"/>
          <w:left w:val="none"/>
          <w:bottom w:val="single" w:color="CBC3B3" w:sz="2"/>
          <w:right w:val="none"/>
          <w:insideH w:val="single" w:color="CBC3B3" w:sz="2"/>
          <w:insideV w:val="none"/>
        </w:tblBorders>
      </w:tblPr>
      <w:tblGrid>
        <w:gridCol w:w="3200"/>
        <w:gridCol w:w="6160"/>
      </w:tblGrid>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CAPACITY</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20 to 400+ beds demonstrated</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PRODUCTION</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Up to 100 units / month</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STAGING</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Quarterly, aligned to workforce ramp-up</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PROGRAM</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5–6 year project durations supported</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DESIGN LIFE</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50+ years</w:t>
            </w:r>
          </w:p>
        </w:tc>
      </w:tr>
      <w:tr>
        <w:tc>
          <w:tcPr>
            <w:tcW w:type="dxa" w:w="3200"/>
            <w:tcMar>
              <w:top w:type="dxa" w:w="60"/>
              <w:left w:type="dxa" w:w="40"/>
              <w:bottom w:type="dxa" w:w="60"/>
              <w:right w:type="dxa" w:w="120"/>
            </w:tcMar>
          </w:tcPr>
          <w:p>
            <w:r>
              <w:rPr>
                <w:rFonts w:ascii="Calibri" w:cs="Calibri" w:eastAsia="Calibri" w:hAnsi="Calibri"/>
                <w:b/>
                <w:bCs/>
                <w:color w:val="354C3A"/>
                <w:spacing w:val="20"/>
                <w:sz w:val="15"/>
                <w:szCs w:val="15"/>
              </w:rPr>
              <w:t xml:space="preserve">WARRANTY</w:t>
            </w:r>
          </w:p>
        </w:tc>
        <w:tc>
          <w:tcPr>
            <w:tcW w:type="dxa" w:w="6160"/>
            <w:tcMar>
              <w:top w:type="dxa" w:w="60"/>
              <w:left w:type="dxa" w:w="40"/>
              <w:bottom w:type="dxa" w:w="60"/>
              <w:right w:type="dxa" w:w="40"/>
            </w:tcMar>
          </w:tcPr>
          <w:p>
            <w:r>
              <w:rPr>
                <w:rFonts w:ascii="Calibri" w:cs="Calibri" w:eastAsia="Calibri" w:hAnsi="Calibri"/>
                <w:color w:val="4A5950"/>
                <w:sz w:val="19"/>
                <w:szCs w:val="19"/>
              </w:rPr>
              <w:t xml:space="preserve">7 years, extendable to 10+</w:t>
            </w:r>
          </w:p>
        </w:tc>
      </w:tr>
    </w:tbl>
    <w:p>
      <w:r>
        <w:br w:type="page"/>
      </w:r>
    </w:p>
    <w:p>
      <w:pPr>
        <w:spacing w:after="60" w:before="260"/>
      </w:pPr>
      <w:r>
        <w:rPr>
          <w:rFonts w:ascii="Calibri" w:cs="Calibri" w:eastAsia="Calibri" w:hAnsi="Calibri"/>
          <w:b/>
          <w:bCs/>
          <w:color w:val="354C3A"/>
          <w:spacing w:val="40"/>
          <w:sz w:val="15"/>
          <w:szCs w:val="15"/>
        </w:rPr>
        <w:t xml:space="preserve">SELECTED EXPERIENCE</w:t>
      </w:r>
    </w:p>
    <w:tbl>
      <w:tblPr>
        <w:tblW w:type="dxa" w:w="9360"/>
        <w:tblBorders>
          <w:top w:val="single" w:color="354C3A" w:sz="4"/>
          <w:left w:val="none"/>
          <w:bottom w:val="single" w:color="CBC3B3" w:sz="2"/>
          <w:right w:val="none"/>
          <w:insideH w:val="single" w:color="CBC3B3" w:sz="2"/>
          <w:insideV w:val="none"/>
        </w:tblBorders>
      </w:tblPr>
      <w:tblGrid>
        <w:gridCol w:w="2500"/>
        <w:gridCol w:w="5060"/>
        <w:gridCol w:w="1800"/>
      </w:tblGrid>
      <w:tr>
        <w:tc>
          <w:tcPr>
            <w:tcW w:type="dxa" w:w="2500"/>
            <w:tcMar>
              <w:top w:type="dxa" w:w="100"/>
              <w:bottom w:type="dxa" w:w="100"/>
              <w:right w:type="dxa" w:w="120"/>
            </w:tcMar>
          </w:tcPr>
          <w:p>
            <w:r>
              <w:rPr>
                <w:rFonts w:ascii="Calibri" w:cs="Calibri" w:eastAsia="Calibri" w:hAnsi="Calibri"/>
                <w:b/>
                <w:bCs/>
                <w:color w:val="233328"/>
                <w:sz w:val="20"/>
                <w:szCs w:val="20"/>
              </w:rPr>
              <w:t xml:space="preserve">Dinawan Energy Hub</w:t>
            </w:r>
          </w:p>
          <w:p>
            <w:pPr>
              <w:spacing w:before="30"/>
            </w:pPr>
            <w:r>
              <w:rPr>
                <w:rFonts w:ascii="Calibri" w:cs="Calibri" w:eastAsia="Calibri" w:hAnsi="Calibri"/>
                <w:color w:val="354C3A"/>
                <w:spacing w:val="20"/>
                <w:sz w:val="13"/>
                <w:szCs w:val="13"/>
              </w:rPr>
              <w:t xml:space="preserve">NSW · RENEWABLE ENERGY</w:t>
            </w:r>
          </w:p>
        </w:tc>
        <w:tc>
          <w:tcPr>
            <w:tcW w:type="dxa" w:w="5060"/>
            <w:tcMar>
              <w:top w:type="dxa" w:w="100"/>
              <w:bottom w:type="dxa" w:w="100"/>
              <w:right w:type="dxa" w:w="120"/>
            </w:tcMar>
          </w:tcPr>
          <w:p>
            <w:r>
              <w:rPr>
                <w:rFonts w:ascii="Calibri" w:cs="Calibri" w:eastAsia="Calibri" w:hAnsi="Calibri"/>
                <w:color w:val="4A5950"/>
                <w:sz w:val="18"/>
                <w:szCs w:val="18"/>
              </w:rPr>
              <w:t xml:space="preserve">400+ bed workforce village. Expression of Interest submitted to Spark Renewables through the HALO Village Delivery Consortium, with staged quarterly delivery aligned to construction ramp-up.</w:t>
            </w:r>
          </w:p>
        </w:tc>
        <w:tc>
          <w:tcPr>
            <w:tcW w:type="dxa" w:w="1800"/>
            <w:tcMar>
              <w:top w:type="dxa" w:w="100"/>
              <w:bottom w:type="dxa" w:w="100"/>
            </w:tcMar>
          </w:tcPr>
          <w:p>
            <w:pPr>
              <w:jc w:val="right"/>
            </w:pPr>
            <w:r>
              <w:rPr>
                <w:rFonts w:ascii="Calibri" w:cs="Calibri" w:eastAsia="Calibri" w:hAnsi="Calibri"/>
                <w:color w:val="998D7A"/>
                <w:spacing w:val="20"/>
                <w:sz w:val="13"/>
                <w:szCs w:val="13"/>
              </w:rPr>
              <w:t xml:space="preserve">EOI SUBMITTED</w:t>
            </w:r>
          </w:p>
        </w:tc>
      </w:tr>
      <w:tr>
        <w:tc>
          <w:tcPr>
            <w:tcW w:type="dxa" w:w="2500"/>
            <w:tcMar>
              <w:top w:type="dxa" w:w="100"/>
              <w:bottom w:type="dxa" w:w="100"/>
              <w:right w:type="dxa" w:w="120"/>
            </w:tcMar>
          </w:tcPr>
          <w:p>
            <w:r>
              <w:rPr>
                <w:rFonts w:ascii="Calibri" w:cs="Calibri" w:eastAsia="Calibri" w:hAnsi="Calibri"/>
                <w:b/>
                <w:bCs/>
                <w:color w:val="233328"/>
                <w:sz w:val="20"/>
                <w:szCs w:val="20"/>
              </w:rPr>
              <w:t xml:space="preserve">Windows on the Wetlands</w:t>
            </w:r>
          </w:p>
          <w:p>
            <w:pPr>
              <w:spacing w:before="30"/>
            </w:pPr>
            <w:r>
              <w:rPr>
                <w:rFonts w:ascii="Calibri" w:cs="Calibri" w:eastAsia="Calibri" w:hAnsi="Calibri"/>
                <w:color w:val="354C3A"/>
                <w:spacing w:val="20"/>
                <w:sz w:val="13"/>
                <w:szCs w:val="13"/>
              </w:rPr>
              <w:t xml:space="preserve">NT · CULTURAL &amp; TOURISM</w:t>
            </w:r>
          </w:p>
        </w:tc>
        <w:tc>
          <w:tcPr>
            <w:tcW w:type="dxa" w:w="5060"/>
            <w:tcMar>
              <w:top w:type="dxa" w:w="100"/>
              <w:bottom w:type="dxa" w:w="100"/>
              <w:right w:type="dxa" w:w="120"/>
            </w:tcMar>
          </w:tcPr>
          <w:p>
            <w:r>
              <w:rPr>
                <w:rFonts w:ascii="Calibri" w:cs="Calibri" w:eastAsia="Calibri" w:hAnsi="Calibri"/>
                <w:color w:val="4A5950"/>
                <w:sz w:val="18"/>
                <w:szCs w:val="18"/>
              </w:rPr>
              <w:t xml:space="preserve">Custodian-led cultural learning and economic hub on Country, with low-impact accommodation supporting a five-engine operating model. In partnership with the Kennon families, Pudakul and Innovation200.</w:t>
            </w:r>
          </w:p>
        </w:tc>
        <w:tc>
          <w:tcPr>
            <w:tcW w:type="dxa" w:w="1800"/>
            <w:tcMar>
              <w:top w:type="dxa" w:w="100"/>
              <w:bottom w:type="dxa" w:w="100"/>
            </w:tcMar>
          </w:tcPr>
          <w:p>
            <w:pPr>
              <w:jc w:val="right"/>
            </w:pPr>
            <w:r>
              <w:rPr>
                <w:rFonts w:ascii="Calibri" w:cs="Calibri" w:eastAsia="Calibri" w:hAnsi="Calibri"/>
                <w:color w:val="998D7A"/>
                <w:spacing w:val="20"/>
                <w:sz w:val="13"/>
                <w:szCs w:val="13"/>
              </w:rPr>
              <w:t xml:space="preserve">STAGE 2 EOI</w:t>
            </w:r>
          </w:p>
        </w:tc>
      </w:tr>
      <w:tr>
        <w:tc>
          <w:tcPr>
            <w:tcW w:type="dxa" w:w="2500"/>
            <w:tcMar>
              <w:top w:type="dxa" w:w="100"/>
              <w:bottom w:type="dxa" w:w="100"/>
              <w:right w:type="dxa" w:w="120"/>
            </w:tcMar>
          </w:tcPr>
          <w:p>
            <w:r>
              <w:rPr>
                <w:rFonts w:ascii="Calibri" w:cs="Calibri" w:eastAsia="Calibri" w:hAnsi="Calibri"/>
                <w:b/>
                <w:bCs/>
                <w:color w:val="233328"/>
                <w:sz w:val="20"/>
                <w:szCs w:val="20"/>
              </w:rPr>
              <w:t xml:space="preserve">Vacy Village</w:t>
            </w:r>
          </w:p>
          <w:p>
            <w:pPr>
              <w:spacing w:before="30"/>
            </w:pPr>
            <w:r>
              <w:rPr>
                <w:rFonts w:ascii="Calibri" w:cs="Calibri" w:eastAsia="Calibri" w:hAnsi="Calibri"/>
                <w:color w:val="354C3A"/>
                <w:spacing w:val="20"/>
                <w:sz w:val="13"/>
                <w:szCs w:val="13"/>
              </w:rPr>
              <w:t xml:space="preserve">NSW · COMMUNITY HOUSING</w:t>
            </w:r>
          </w:p>
        </w:tc>
        <w:tc>
          <w:tcPr>
            <w:tcW w:type="dxa" w:w="5060"/>
            <w:tcMar>
              <w:top w:type="dxa" w:w="100"/>
              <w:bottom w:type="dxa" w:w="100"/>
              <w:right w:type="dxa" w:w="120"/>
            </w:tcMar>
          </w:tcPr>
          <w:p>
            <w:r>
              <w:rPr>
                <w:rFonts w:ascii="Calibri" w:cs="Calibri" w:eastAsia="Calibri" w:hAnsi="Calibri"/>
                <w:color w:val="4A5950"/>
                <w:sz w:val="18"/>
                <w:szCs w:val="18"/>
              </w:rPr>
              <w:t xml:space="preserve">Intergenerational regional village on a Hunter-region site, demonstrating mixed-composition modular community housing and the transition of accommodation into lasting regional assets.</w:t>
            </w:r>
          </w:p>
        </w:tc>
        <w:tc>
          <w:tcPr>
            <w:tcW w:type="dxa" w:w="1800"/>
            <w:tcMar>
              <w:top w:type="dxa" w:w="100"/>
              <w:bottom w:type="dxa" w:w="100"/>
            </w:tcMar>
          </w:tcPr>
          <w:p>
            <w:pPr>
              <w:jc w:val="right"/>
            </w:pPr>
            <w:r>
              <w:rPr>
                <w:rFonts w:ascii="Calibri" w:cs="Calibri" w:eastAsia="Calibri" w:hAnsi="Calibri"/>
                <w:color w:val="998D7A"/>
                <w:spacing w:val="20"/>
                <w:sz w:val="13"/>
                <w:szCs w:val="13"/>
              </w:rPr>
              <w:t xml:space="preserve">IN DEVELOPMENT</w:t>
            </w:r>
          </w:p>
        </w:tc>
      </w:tr>
    </w:tbl>
    <w:p>
      <w:pPr>
        <w:spacing w:after="160" w:before="100"/>
      </w:pPr>
      <w:r>
        <w:rPr>
          <w:rFonts w:ascii="Calibri" w:cs="Calibri" w:eastAsia="Calibri" w:hAnsi="Calibri"/>
          <w:i/>
          <w:iCs/>
          <w:color w:val="998D7A"/>
          <w:sz w:val="16"/>
          <w:szCs w:val="16"/>
        </w:rPr>
        <w:t xml:space="preserve">Project status is stated as at 2026 and reflects Expressions of Interest and partnerships in development. Aluxria participates as the modular design, manufacture and supply partner. Contract value, references and further project detail are available on request.</w:t>
      </w:r>
    </w:p>
    <w:p>
      <w:pPr>
        <w:spacing w:after="60" w:before="260"/>
      </w:pPr>
      <w:r>
        <w:rPr>
          <w:rFonts w:ascii="Calibri" w:cs="Calibri" w:eastAsia="Calibri" w:hAnsi="Calibri"/>
          <w:b/>
          <w:bCs/>
          <w:color w:val="354C3A"/>
          <w:spacing w:val="40"/>
          <w:sz w:val="15"/>
          <w:szCs w:val="15"/>
        </w:rPr>
        <w:t xml:space="preserve">COMPLIANCE, QUALITY &amp; CORPORATE DETAILS</w:t>
      </w:r>
    </w:p>
    <w:tbl>
      <w:tblPr>
        <w:tblW w:type="dxa" w:w="9360"/>
        <w:tblBorders>
          <w:top w:val="single" w:color="354C3A" w:sz="4"/>
          <w:left w:val="none"/>
          <w:bottom w:val="single" w:color="CBC3B3" w:sz="2"/>
          <w:right w:val="none"/>
          <w:insideH w:val="single" w:color="CBC3B3" w:sz="2"/>
          <w:insideV w:val="none"/>
        </w:tblBorders>
      </w:tblPr>
      <w:tblGrid>
        <w:gridCol w:w="3200"/>
        <w:gridCol w:w="6160"/>
      </w:tblGrid>
      <w:tr>
        <w:tc>
          <w:tcPr>
            <w:tcW w:type="dxa" w:w="3200"/>
            <w:tcMar>
              <w:top w:type="dxa" w:w="60"/>
              <w:bottom w:type="dxa" w:w="60"/>
              <w:right w:type="dxa" w:w="120"/>
            </w:tcMar>
          </w:tcPr>
          <w:p>
            <w:r>
              <w:rPr>
                <w:rFonts w:ascii="Calibri" w:cs="Calibri" w:eastAsia="Calibri" w:hAnsi="Calibri"/>
                <w:b/>
                <w:bCs/>
                <w:color w:val="354C3A"/>
                <w:spacing w:val="20"/>
                <w:sz w:val="15"/>
                <w:szCs w:val="15"/>
              </w:rPr>
              <w:t xml:space="preserve">TRADING NAME</w:t>
            </w:r>
          </w:p>
        </w:tc>
        <w:tc>
          <w:tcPr>
            <w:tcW w:type="dxa" w:w="6160"/>
            <w:tcMar>
              <w:top w:type="dxa" w:w="60"/>
              <w:bottom w:type="dxa" w:w="60"/>
            </w:tcMar>
          </w:tcPr>
          <w:p>
            <w:r>
              <w:rPr>
                <w:rFonts w:ascii="Calibri" w:cs="Calibri" w:eastAsia="Calibri" w:hAnsi="Calibri"/>
                <w:color w:val="4A5950"/>
                <w:sz w:val="19"/>
                <w:szCs w:val="19"/>
              </w:rPr>
              <w:t xml:space="preserve">Aluxria</w:t>
            </w:r>
          </w:p>
        </w:tc>
      </w:tr>
      <w:tr>
        <w:tc>
          <w:tcPr>
            <w:tcW w:type="dxa" w:w="3200"/>
            <w:tcMar>
              <w:top w:type="dxa" w:w="60"/>
              <w:bottom w:type="dxa" w:w="60"/>
              <w:right w:type="dxa" w:w="120"/>
            </w:tcMar>
          </w:tcPr>
          <w:p>
            <w:r>
              <w:rPr>
                <w:rFonts w:ascii="Calibri" w:cs="Calibri" w:eastAsia="Calibri" w:hAnsi="Calibri"/>
                <w:b/>
                <w:bCs/>
                <w:color w:val="354C3A"/>
                <w:spacing w:val="20"/>
                <w:sz w:val="15"/>
                <w:szCs w:val="15"/>
              </w:rPr>
              <w:t xml:space="preserve">BUSINESS TYPE</w:t>
            </w:r>
          </w:p>
        </w:tc>
        <w:tc>
          <w:tcPr>
            <w:tcW w:type="dxa" w:w="6160"/>
            <w:tcMar>
              <w:top w:type="dxa" w:w="60"/>
              <w:bottom w:type="dxa" w:w="60"/>
            </w:tcMar>
          </w:tcPr>
          <w:p>
            <w:r>
              <w:rPr>
                <w:rFonts w:ascii="Calibri" w:cs="Calibri" w:eastAsia="Calibri" w:hAnsi="Calibri"/>
                <w:color w:val="4A5950"/>
                <w:sz w:val="19"/>
                <w:szCs w:val="19"/>
              </w:rPr>
              <w:t xml:space="preserve">First Nations–led modular construction</w:t>
            </w:r>
          </w:p>
        </w:tc>
      </w:tr>
      <w:tr>
        <w:tc>
          <w:tcPr>
            <w:tcW w:type="dxa" w:w="3200"/>
            <w:tcMar>
              <w:top w:type="dxa" w:w="60"/>
              <w:bottom w:type="dxa" w:w="60"/>
              <w:right w:type="dxa" w:w="120"/>
            </w:tcMar>
          </w:tcPr>
          <w:p>
            <w:r>
              <w:rPr>
                <w:rFonts w:ascii="Calibri" w:cs="Calibri" w:eastAsia="Calibri" w:hAnsi="Calibri"/>
                <w:b/>
                <w:bCs/>
                <w:color w:val="354C3A"/>
                <w:spacing w:val="20"/>
                <w:sz w:val="15"/>
                <w:szCs w:val="15"/>
              </w:rPr>
              <w:t xml:space="preserve">ABN / ACN</w:t>
            </w:r>
          </w:p>
        </w:tc>
        <w:tc>
          <w:tcPr>
            <w:tcW w:type="dxa" w:w="6160"/>
            <w:tcMar>
              <w:top w:type="dxa" w:w="60"/>
              <w:bottom w:type="dxa" w:w="60"/>
            </w:tcMar>
          </w:tcPr>
          <w:p>
            <w:r>
              <w:rPr>
                <w:rFonts w:ascii="Calibri" w:cs="Calibri" w:eastAsia="Calibri" w:hAnsi="Calibri"/>
                <w:i/>
                <w:iCs/>
                <w:color w:val="998D7A"/>
                <w:sz w:val="19"/>
                <w:szCs w:val="19"/>
              </w:rPr>
              <w:t xml:space="preserve">To confirm</w:t>
            </w:r>
          </w:p>
        </w:tc>
      </w:tr>
      <w:tr>
        <w:tc>
          <w:tcPr>
            <w:tcW w:type="dxa" w:w="3200"/>
            <w:tcMar>
              <w:top w:type="dxa" w:w="60"/>
              <w:bottom w:type="dxa" w:w="60"/>
              <w:right w:type="dxa" w:w="120"/>
            </w:tcMar>
          </w:tcPr>
          <w:p>
            <w:r>
              <w:rPr>
                <w:rFonts w:ascii="Calibri" w:cs="Calibri" w:eastAsia="Calibri" w:hAnsi="Calibri"/>
                <w:b/>
                <w:bCs/>
                <w:color w:val="354C3A"/>
                <w:spacing w:val="20"/>
                <w:sz w:val="15"/>
                <w:szCs w:val="15"/>
              </w:rPr>
              <w:t xml:space="preserve">SUPPLY NATION</w:t>
            </w:r>
          </w:p>
        </w:tc>
        <w:tc>
          <w:tcPr>
            <w:tcW w:type="dxa" w:w="6160"/>
            <w:tcMar>
              <w:top w:type="dxa" w:w="60"/>
              <w:bottom w:type="dxa" w:w="60"/>
            </w:tcMar>
          </w:tcPr>
          <w:p>
            <w:r>
              <w:rPr>
                <w:rFonts w:ascii="Calibri" w:cs="Calibri" w:eastAsia="Calibri" w:hAnsi="Calibri"/>
                <w:color w:val="4A5950"/>
                <w:sz w:val="19"/>
                <w:szCs w:val="19"/>
              </w:rPr>
              <w:t xml:space="preserve">Registered  </w:t>
            </w:r>
            <w:r>
              <w:rPr>
                <w:rFonts w:ascii="Calibri" w:cs="Calibri" w:eastAsia="Calibri" w:hAnsi="Calibri"/>
                <w:i/>
                <w:iCs/>
                <w:color w:val="998D7A"/>
                <w:sz w:val="19"/>
                <w:szCs w:val="19"/>
              </w:rPr>
              <w:t xml:space="preserve">· registration number to confirm</w:t>
            </w:r>
          </w:p>
        </w:tc>
      </w:tr>
      <w:tr>
        <w:tc>
          <w:tcPr>
            <w:tcW w:type="dxa" w:w="3200"/>
            <w:tcMar>
              <w:top w:type="dxa" w:w="60"/>
              <w:bottom w:type="dxa" w:w="60"/>
              <w:right w:type="dxa" w:w="120"/>
            </w:tcMar>
          </w:tcPr>
          <w:p>
            <w:r>
              <w:rPr>
                <w:rFonts w:ascii="Calibri" w:cs="Calibri" w:eastAsia="Calibri" w:hAnsi="Calibri"/>
                <w:b/>
                <w:bCs/>
                <w:color w:val="354C3A"/>
                <w:spacing w:val="20"/>
                <w:sz w:val="15"/>
                <w:szCs w:val="15"/>
              </w:rPr>
              <w:t xml:space="preserve">ICN GATEWAY</w:t>
            </w:r>
          </w:p>
        </w:tc>
        <w:tc>
          <w:tcPr>
            <w:tcW w:type="dxa" w:w="6160"/>
            <w:tcMar>
              <w:top w:type="dxa" w:w="60"/>
              <w:bottom w:type="dxa" w:w="60"/>
            </w:tcMar>
          </w:tcPr>
          <w:p>
            <w:r>
              <w:rPr>
                <w:rFonts w:ascii="Calibri" w:cs="Calibri" w:eastAsia="Calibri" w:hAnsi="Calibri"/>
                <w:i/>
                <w:iCs/>
                <w:color w:val="998D7A"/>
                <w:sz w:val="19"/>
                <w:szCs w:val="19"/>
              </w:rPr>
              <w:t xml:space="preserve">Registration to confirm</w:t>
            </w:r>
          </w:p>
        </w:tc>
      </w:tr>
      <w:tr>
        <w:tc>
          <w:tcPr>
            <w:tcW w:type="dxa" w:w="3200"/>
            <w:tcMar>
              <w:top w:type="dxa" w:w="60"/>
              <w:bottom w:type="dxa" w:w="60"/>
              <w:right w:type="dxa" w:w="120"/>
            </w:tcMar>
          </w:tcPr>
          <w:p>
            <w:r>
              <w:rPr>
                <w:rFonts w:ascii="Calibri" w:cs="Calibri" w:eastAsia="Calibri" w:hAnsi="Calibri"/>
                <w:b/>
                <w:bCs/>
                <w:color w:val="354C3A"/>
                <w:spacing w:val="20"/>
                <w:sz w:val="15"/>
                <w:szCs w:val="15"/>
              </w:rPr>
              <w:t xml:space="preserve">REGISTERED OFFICE</w:t>
            </w:r>
          </w:p>
        </w:tc>
        <w:tc>
          <w:tcPr>
            <w:tcW w:type="dxa" w:w="6160"/>
            <w:tcMar>
              <w:top w:type="dxa" w:w="60"/>
              <w:bottom w:type="dxa" w:w="60"/>
            </w:tcMar>
          </w:tcPr>
          <w:p>
            <w:r>
              <w:rPr>
                <w:rFonts w:ascii="Calibri" w:cs="Calibri" w:eastAsia="Calibri" w:hAnsi="Calibri"/>
                <w:i/>
                <w:iCs/>
                <w:color w:val="998D7A"/>
                <w:sz w:val="19"/>
                <w:szCs w:val="19"/>
              </w:rPr>
              <w:t xml:space="preserve">To confirm</w:t>
            </w:r>
          </w:p>
        </w:tc>
      </w:tr>
      <w:tr>
        <w:tc>
          <w:tcPr>
            <w:tcW w:type="dxa" w:w="3200"/>
            <w:tcMar>
              <w:top w:type="dxa" w:w="60"/>
              <w:bottom w:type="dxa" w:w="60"/>
              <w:right w:type="dxa" w:w="120"/>
            </w:tcMar>
          </w:tcPr>
          <w:p>
            <w:r>
              <w:rPr>
                <w:rFonts w:ascii="Calibri" w:cs="Calibri" w:eastAsia="Calibri" w:hAnsi="Calibri"/>
                <w:b/>
                <w:bCs/>
                <w:color w:val="354C3A"/>
                <w:spacing w:val="20"/>
                <w:sz w:val="15"/>
                <w:szCs w:val="15"/>
              </w:rPr>
              <w:t xml:space="preserve">BUILDING COMPLIANCE</w:t>
            </w:r>
          </w:p>
        </w:tc>
        <w:tc>
          <w:tcPr>
            <w:tcW w:type="dxa" w:w="6160"/>
            <w:tcMar>
              <w:top w:type="dxa" w:w="60"/>
              <w:bottom w:type="dxa" w:w="60"/>
            </w:tcMar>
          </w:tcPr>
          <w:p>
            <w:r>
              <w:rPr>
                <w:rFonts w:ascii="Calibri" w:cs="Calibri" w:eastAsia="Calibri" w:hAnsi="Calibri"/>
                <w:color w:val="4A5950"/>
                <w:sz w:val="19"/>
                <w:szCs w:val="19"/>
              </w:rPr>
              <w:t xml:space="preserve">NCC certified; Occupation Certificate pathway</w:t>
            </w:r>
          </w:p>
        </w:tc>
      </w:tr>
      <w:tr>
        <w:tc>
          <w:tcPr>
            <w:tcW w:type="dxa" w:w="3200"/>
            <w:tcMar>
              <w:top w:type="dxa" w:w="60"/>
              <w:bottom w:type="dxa" w:w="60"/>
              <w:right w:type="dxa" w:w="120"/>
            </w:tcMar>
          </w:tcPr>
          <w:p>
            <w:r>
              <w:rPr>
                <w:rFonts w:ascii="Calibri" w:cs="Calibri" w:eastAsia="Calibri" w:hAnsi="Calibri"/>
                <w:b/>
                <w:bCs/>
                <w:color w:val="354C3A"/>
                <w:spacing w:val="20"/>
                <w:sz w:val="15"/>
                <w:szCs w:val="15"/>
              </w:rPr>
              <w:t xml:space="preserve">ASSET GOVERNANCE</w:t>
            </w:r>
          </w:p>
        </w:tc>
        <w:tc>
          <w:tcPr>
            <w:tcW w:type="dxa" w:w="6160"/>
            <w:tcMar>
              <w:top w:type="dxa" w:w="60"/>
              <w:bottom w:type="dxa" w:w="60"/>
            </w:tcMar>
          </w:tcPr>
          <w:p>
            <w:r>
              <w:rPr>
                <w:rFonts w:ascii="Calibri" w:cs="Calibri" w:eastAsia="Calibri" w:hAnsi="Calibri"/>
                <w:color w:val="4A5950"/>
                <w:sz w:val="19"/>
                <w:szCs w:val="19"/>
              </w:rPr>
              <w:t xml:space="preserve">Aluxria Care Standards Board (independent)</w:t>
            </w:r>
          </w:p>
        </w:tc>
      </w:tr>
      <w:tr>
        <w:tc>
          <w:tcPr>
            <w:tcW w:type="dxa" w:w="3200"/>
            <w:tcMar>
              <w:top w:type="dxa" w:w="60"/>
              <w:bottom w:type="dxa" w:w="60"/>
              <w:right w:type="dxa" w:w="120"/>
            </w:tcMar>
          </w:tcPr>
          <w:p>
            <w:r>
              <w:rPr>
                <w:rFonts w:ascii="Calibri" w:cs="Calibri" w:eastAsia="Calibri" w:hAnsi="Calibri"/>
                <w:b/>
                <w:bCs/>
                <w:color w:val="354C3A"/>
                <w:spacing w:val="20"/>
                <w:sz w:val="15"/>
                <w:szCs w:val="15"/>
              </w:rPr>
              <w:t xml:space="preserve">INSURANCES</w:t>
            </w:r>
          </w:p>
        </w:tc>
        <w:tc>
          <w:tcPr>
            <w:tcW w:type="dxa" w:w="6160"/>
            <w:tcMar>
              <w:top w:type="dxa" w:w="60"/>
              <w:bottom w:type="dxa" w:w="60"/>
            </w:tcMar>
          </w:tcPr>
          <w:p>
            <w:r>
              <w:rPr>
                <w:rFonts w:ascii="Calibri" w:cs="Calibri" w:eastAsia="Calibri" w:hAnsi="Calibri"/>
                <w:i/>
                <w:iCs/>
                <w:color w:val="998D7A"/>
                <w:sz w:val="19"/>
                <w:szCs w:val="19"/>
              </w:rPr>
              <w:t xml:space="preserve">Public liability / professional indemnity / workers compensation — to confirm</w:t>
            </w:r>
          </w:p>
        </w:tc>
      </w:tr>
      <w:tr>
        <w:tc>
          <w:tcPr>
            <w:tcW w:type="dxa" w:w="3200"/>
            <w:tcMar>
              <w:top w:type="dxa" w:w="60"/>
              <w:bottom w:type="dxa" w:w="60"/>
              <w:right w:type="dxa" w:w="120"/>
            </w:tcMar>
          </w:tcPr>
          <w:p>
            <w:r>
              <w:rPr>
                <w:rFonts w:ascii="Calibri" w:cs="Calibri" w:eastAsia="Calibri" w:hAnsi="Calibri"/>
                <w:b/>
                <w:bCs/>
                <w:color w:val="354C3A"/>
                <w:spacing w:val="20"/>
                <w:sz w:val="15"/>
                <w:szCs w:val="15"/>
              </w:rPr>
              <w:t xml:space="preserve">QUALITY &amp; OTHER ACCREDITATIONS</w:t>
            </w:r>
          </w:p>
        </w:tc>
        <w:tc>
          <w:tcPr>
            <w:tcW w:type="dxa" w:w="6160"/>
            <w:tcMar>
              <w:top w:type="dxa" w:w="60"/>
              <w:bottom w:type="dxa" w:w="60"/>
            </w:tcMar>
          </w:tcPr>
          <w:p>
            <w:r>
              <w:rPr>
                <w:rFonts w:ascii="Calibri" w:cs="Calibri" w:eastAsia="Calibri" w:hAnsi="Calibri"/>
                <w:i/>
                <w:iCs/>
                <w:color w:val="998D7A"/>
                <w:sz w:val="19"/>
                <w:szCs w:val="19"/>
              </w:rPr>
              <w:t xml:space="preserve">To confirm (e.g. ISO)</w:t>
            </w:r>
          </w:p>
        </w:tc>
      </w:tr>
      <w:tr>
        <w:tc>
          <w:tcPr>
            <w:tcW w:type="dxa" w:w="3200"/>
            <w:tcMar>
              <w:top w:type="dxa" w:w="60"/>
              <w:bottom w:type="dxa" w:w="60"/>
              <w:right w:type="dxa" w:w="120"/>
            </w:tcMar>
          </w:tcPr>
          <w:p>
            <w:r>
              <w:rPr>
                <w:rFonts w:ascii="Calibri" w:cs="Calibri" w:eastAsia="Calibri" w:hAnsi="Calibri"/>
                <w:b/>
                <w:bCs/>
                <w:color w:val="354C3A"/>
                <w:spacing w:val="20"/>
                <w:sz w:val="15"/>
                <w:szCs w:val="15"/>
              </w:rPr>
              <w:t xml:space="preserve">WEBSITE</w:t>
            </w:r>
          </w:p>
        </w:tc>
        <w:tc>
          <w:tcPr>
            <w:tcW w:type="dxa" w:w="6160"/>
            <w:tcMar>
              <w:top w:type="dxa" w:w="60"/>
              <w:bottom w:type="dxa" w:w="60"/>
            </w:tcMar>
          </w:tcPr>
          <w:p>
            <w:r>
              <w:rPr>
                <w:rFonts w:ascii="Calibri" w:cs="Calibri" w:eastAsia="Calibri" w:hAnsi="Calibri"/>
                <w:color w:val="4A5950"/>
                <w:sz w:val="19"/>
                <w:szCs w:val="19"/>
              </w:rPr>
              <w:t xml:space="preserve">aluxria.com</w:t>
            </w:r>
          </w:p>
        </w:tc>
      </w:tr>
      <w:tr>
        <w:tc>
          <w:tcPr>
            <w:tcW w:type="dxa" w:w="3200"/>
            <w:tcMar>
              <w:top w:type="dxa" w:w="60"/>
              <w:bottom w:type="dxa" w:w="60"/>
              <w:right w:type="dxa" w:w="120"/>
            </w:tcMar>
          </w:tcPr>
          <w:p>
            <w:r>
              <w:rPr>
                <w:rFonts w:ascii="Calibri" w:cs="Calibri" w:eastAsia="Calibri" w:hAnsi="Calibri"/>
                <w:b/>
                <w:bCs/>
                <w:color w:val="354C3A"/>
                <w:spacing w:val="20"/>
                <w:sz w:val="15"/>
                <w:szCs w:val="15"/>
              </w:rPr>
              <w:t xml:space="preserve">ENQUIRIES</w:t>
            </w:r>
          </w:p>
        </w:tc>
        <w:tc>
          <w:tcPr>
            <w:tcW w:type="dxa" w:w="6160"/>
            <w:tcMar>
              <w:top w:type="dxa" w:w="60"/>
              <w:bottom w:type="dxa" w:w="60"/>
            </w:tcMar>
          </w:tcPr>
          <w:p>
            <w:r>
              <w:rPr>
                <w:rFonts w:ascii="Calibri" w:cs="Calibri" w:eastAsia="Calibri" w:hAnsi="Calibri"/>
                <w:i/>
                <w:iCs/>
                <w:color w:val="998D7A"/>
                <w:sz w:val="19"/>
                <w:szCs w:val="19"/>
              </w:rPr>
              <w:t xml:space="preserve">Contact name / email / phone to confirm</w:t>
            </w:r>
          </w:p>
        </w:tc>
      </w:tr>
    </w:tbl>
    <w:p>
      <w:pPr>
        <w:pBdr>
          <w:top w:val="single" w:color="354C3A" w:sz="4" w:space="8"/>
        </w:pBdr>
        <w:spacing w:after="60" w:before="220"/>
      </w:pPr>
      <w:r>
        <w:rPr>
          <w:sz w:val="4"/>
          <w:szCs w:val="4"/>
        </w:rPr>
        <w:t xml:space="preserve"/>
      </w:r>
    </w:p>
    <w:p>
      <w:pPr>
        <w:spacing w:after="120" w:before="60" w:line="288"/>
      </w:pPr>
      <w:r>
        <w:rPr>
          <w:rFonts w:ascii="Calibri" w:cs="Calibri" w:eastAsia="Calibri" w:hAnsi="Calibri"/>
          <w:b/>
          <w:bCs/>
          <w:color w:val="233328"/>
          <w:sz w:val="21"/>
          <w:szCs w:val="21"/>
        </w:rPr>
        <w:t xml:space="preserve">Precision-built modular accommodation, certified under the National Construction Code, delivered at scale through a First Nations–led consortium, and stewarded across a 50-year lifecycle under the Aluxria Care framework. Compliant accommodation for the project. Durable value for the region. One procurement decision.</w:t>
      </w:r>
    </w:p>
    <w:p>
      <w:pPr>
        <w:spacing w:before="80"/>
      </w:pPr>
      <w:r>
        <w:rPr>
          <w:rFonts w:ascii="Calibri" w:cs="Calibri" w:eastAsia="Calibri" w:hAnsi="Calibri"/>
          <w:color w:val="998D7A"/>
          <w:spacing w:val="20"/>
          <w:sz w:val="15"/>
          <w:szCs w:val="15"/>
        </w:rPr>
        <w:t xml:space="preserve">Aluxria  ·  aluxria.com  ·  Capability Statement 2026  ·  Prepared for the Industry Capability Network</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354C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9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rPr>
      <w:rFonts w:ascii="Calibri" w:cs="Calibri" w:eastAsia="Calibri" w:hAnsi="Calibri"/>
      <w:b/>
      <w:bCs/>
      <w:color w:val="2333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Aluxria — Capability Statement (ICN)</dc:title>
  <dc:creator>Aluxria</dc:creator>
  <dc:description>Aluxria capability statement prepared for the Industry Capability Network.</dc:description>
  <cp:lastModifiedBy>Un-named</cp:lastModifiedBy>
  <cp:revision>1</cp:revision>
  <dcterms:created xsi:type="dcterms:W3CDTF">2026-07-21T11:01:56.000Z</dcterms:created>
  <dcterms:modified xsi:type="dcterms:W3CDTF">2026-07-21T11:01:56.000Z</dcterms:modified>
</cp:coreProperties>
</file>

<file path=docProps/custom.xml><?xml version="1.0" encoding="utf-8"?>
<Properties xmlns="http://schemas.openxmlformats.org/officeDocument/2006/custom-properties" xmlns:vt="http://schemas.openxmlformats.org/officeDocument/2006/docPropsVTypes"/>
</file>