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Universidad Tecnológica Nacional Facultad Regional de Villa María</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114300</wp:posOffset>
            </wp:positionV>
            <wp:extent cx="5067300" cy="6477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2500" l="5814" r="5814" t="20833"/>
                    <a:stretch>
                      <a:fillRect/>
                    </a:stretch>
                  </pic:blipFill>
                  <pic:spPr>
                    <a:xfrm>
                      <a:off x="0" y="0"/>
                      <a:ext cx="5067300" cy="647700"/>
                    </a:xfrm>
                    <a:prstGeom prst="rect"/>
                    <a:ln/>
                  </pic:spPr>
                </pic:pic>
              </a:graphicData>
            </a:graphic>
          </wp:anchor>
        </w:drawing>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b w:val="1"/>
          <w:bCs w:val="1"/>
          <w:sz w:val="30"/>
          <w:szCs w:val="30"/>
          <w:rtl w:val="0"/>
        </w:rPr>
        <w:t xml:space="preserve">Carrera</w:t>
      </w:r>
      <w:r w:rsidDel="00000000" w:rsidR="00000000" w:rsidRPr="00000000">
        <w:rPr>
          <w:sz w:val="30"/>
          <w:szCs w:val="30"/>
          <w:rtl w:val="0"/>
        </w:rPr>
        <w:t xml:space="preserve">: Ingeniería en Sistemas de Información</w:t>
      </w:r>
    </w:p>
    <w:p w:rsidR="00000000" w:rsidDel="00000000" w:rsidP="00000000" w:rsidRDefault="00000000" w:rsidRPr="00000000" w14:paraId="00000005">
      <w:pPr>
        <w:rPr>
          <w:sz w:val="30"/>
          <w:szCs w:val="30"/>
        </w:rPr>
      </w:pPr>
      <w:r w:rsidDel="00000000" w:rsidR="00000000" w:rsidRPr="00000000">
        <w:rPr>
          <w:rtl w:val="0"/>
        </w:rPr>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b w:val="1"/>
          <w:bCs w:val="1"/>
          <w:sz w:val="30"/>
          <w:szCs w:val="30"/>
          <w:rtl w:val="0"/>
        </w:rPr>
        <w:t xml:space="preserve">Cátedra</w:t>
      </w:r>
      <w:r w:rsidDel="00000000" w:rsidR="00000000" w:rsidRPr="00000000">
        <w:rPr>
          <w:sz w:val="30"/>
          <w:szCs w:val="30"/>
          <w:rtl w:val="0"/>
        </w:rPr>
        <w:t xml:space="preserve">: Proyecto Final</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rtl w:val="0"/>
        </w:rPr>
      </w:r>
    </w:p>
    <w:p w:rsidR="00000000" w:rsidDel="00000000" w:rsidP="00000000" w:rsidRDefault="00000000" w:rsidRPr="00000000" w14:paraId="0000000A">
      <w:pPr>
        <w:rPr>
          <w:sz w:val="30"/>
          <w:szCs w:val="30"/>
        </w:rPr>
      </w:pPr>
      <w:r w:rsidDel="00000000" w:rsidR="00000000" w:rsidRPr="00000000">
        <w:rPr>
          <w:b w:val="1"/>
          <w:bCs w:val="1"/>
          <w:sz w:val="30"/>
          <w:szCs w:val="30"/>
          <w:rtl w:val="0"/>
        </w:rPr>
        <w:t xml:space="preserve">Equipo</w:t>
      </w:r>
      <w:r w:rsidDel="00000000" w:rsidR="00000000" w:rsidRPr="00000000">
        <w:rPr>
          <w:sz w:val="30"/>
          <w:szCs w:val="30"/>
          <w:rtl w:val="0"/>
        </w:rPr>
        <w:t xml:space="preserve">: ClusterPA</w:t>
      </w:r>
    </w:p>
    <w:p w:rsidR="00000000" w:rsidDel="00000000" w:rsidP="00000000" w:rsidRDefault="00000000" w:rsidRPr="00000000" w14:paraId="0000000B">
      <w:pPr>
        <w:rPr>
          <w:sz w:val="30"/>
          <w:szCs w:val="30"/>
        </w:rPr>
      </w:pPr>
      <w:r w:rsidDel="00000000" w:rsidR="00000000" w:rsidRPr="00000000">
        <w:rPr>
          <w:rtl w:val="0"/>
        </w:rPr>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b w:val="1"/>
          <w:bCs w:val="1"/>
          <w:sz w:val="30"/>
          <w:szCs w:val="30"/>
          <w:rtl w:val="0"/>
        </w:rPr>
        <w:t xml:space="preserve">Año</w:t>
      </w:r>
      <w:r w:rsidDel="00000000" w:rsidR="00000000" w:rsidRPr="00000000">
        <w:rPr>
          <w:sz w:val="30"/>
          <w:szCs w:val="30"/>
          <w:rtl w:val="0"/>
        </w:rPr>
        <w:t xml:space="preserve">: 2026</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rtl w:val="0"/>
        </w:rPr>
      </w:r>
    </w:p>
    <w:p w:rsidR="00000000" w:rsidDel="00000000" w:rsidP="00000000" w:rsidRDefault="00000000" w:rsidRPr="00000000" w14:paraId="00000010">
      <w:pPr>
        <w:rPr>
          <w:sz w:val="30"/>
          <w:szCs w:val="30"/>
        </w:rPr>
      </w:pPr>
      <w:r w:rsidDel="00000000" w:rsidR="00000000" w:rsidRPr="00000000">
        <w:rPr>
          <w:b w:val="1"/>
          <w:bCs w:val="1"/>
          <w:sz w:val="30"/>
          <w:szCs w:val="30"/>
          <w:rtl w:val="0"/>
        </w:rPr>
        <w:t xml:space="preserve">Integrantes</w:t>
      </w:r>
      <w:r w:rsidDel="00000000" w:rsidR="00000000" w:rsidRPr="00000000">
        <w:rPr>
          <w:sz w:val="30"/>
          <w:szCs w:val="30"/>
          <w:rtl w:val="0"/>
        </w:rPr>
        <w:t xml:space="preserve">: </w:t>
      </w:r>
    </w:p>
    <w:p w:rsidR="00000000" w:rsidDel="00000000" w:rsidP="00000000" w:rsidRDefault="00000000" w:rsidRPr="00000000" w14:paraId="00000011">
      <w:pPr>
        <w:numPr>
          <w:ilvl w:val="0"/>
          <w:numId w:val="1"/>
        </w:numPr>
        <w:ind w:left="720" w:hanging="360"/>
        <w:rPr>
          <w:sz w:val="30"/>
          <w:szCs w:val="30"/>
        </w:rPr>
      </w:pPr>
      <w:r w:rsidDel="00000000" w:rsidR="00000000" w:rsidRPr="00000000">
        <w:rPr>
          <w:sz w:val="30"/>
          <w:szCs w:val="30"/>
          <w:rtl w:val="0"/>
        </w:rPr>
        <w:t xml:space="preserve">Alves Rodrigo (</w:t>
      </w:r>
      <w:hyperlink r:id="rId7">
        <w:r w:rsidDel="00000000" w:rsidR="00000000" w:rsidRPr="00000000">
          <w:rPr>
            <w:color w:val="1155cc"/>
            <w:sz w:val="30"/>
            <w:szCs w:val="30"/>
            <w:u w:val="single"/>
            <w:rtl w:val="0"/>
          </w:rPr>
          <w:t xml:space="preserve">rodri98alves@gmail.com</w:t>
        </w:r>
      </w:hyperlink>
      <w:r w:rsidDel="00000000" w:rsidR="00000000" w:rsidRPr="00000000">
        <w:rPr>
          <w:sz w:val="30"/>
          <w:szCs w:val="30"/>
          <w:rtl w:val="0"/>
        </w:rPr>
        <w:t xml:space="preserve">) </w:t>
      </w:r>
    </w:p>
    <w:p w:rsidR="00000000" w:rsidDel="00000000" w:rsidP="00000000" w:rsidRDefault="00000000" w:rsidRPr="00000000" w14:paraId="00000012">
      <w:pPr>
        <w:numPr>
          <w:ilvl w:val="0"/>
          <w:numId w:val="1"/>
        </w:numPr>
        <w:ind w:left="720" w:hanging="360"/>
        <w:rPr>
          <w:sz w:val="30"/>
          <w:szCs w:val="30"/>
        </w:rPr>
      </w:pPr>
      <w:r w:rsidDel="00000000" w:rsidR="00000000" w:rsidRPr="00000000">
        <w:rPr>
          <w:sz w:val="30"/>
          <w:szCs w:val="30"/>
          <w:rtl w:val="0"/>
        </w:rPr>
        <w:t xml:space="preserve">Martinez Mateo (</w:t>
      </w:r>
      <w:hyperlink r:id="rId8">
        <w:r w:rsidDel="00000000" w:rsidR="00000000" w:rsidRPr="00000000">
          <w:rPr>
            <w:color w:val="1155cc"/>
            <w:sz w:val="30"/>
            <w:szCs w:val="30"/>
            <w:u w:val="single"/>
            <w:rtl w:val="0"/>
          </w:rPr>
          <w:t xml:space="preserve">mateomarti150@gmail.com</w:t>
        </w:r>
      </w:hyperlink>
      <w:r w:rsidDel="00000000" w:rsidR="00000000" w:rsidRPr="00000000">
        <w:rPr>
          <w:sz w:val="30"/>
          <w:szCs w:val="30"/>
          <w:rtl w:val="0"/>
        </w:rPr>
        <w:t xml:space="preserve">)  </w:t>
      </w:r>
    </w:p>
    <w:p w:rsidR="00000000" w:rsidDel="00000000" w:rsidP="00000000" w:rsidRDefault="00000000" w:rsidRPr="00000000" w14:paraId="00000013">
      <w:pPr>
        <w:numPr>
          <w:ilvl w:val="0"/>
          <w:numId w:val="1"/>
        </w:numPr>
        <w:ind w:left="720" w:hanging="360"/>
        <w:rPr>
          <w:sz w:val="30"/>
          <w:szCs w:val="30"/>
        </w:rPr>
      </w:pPr>
      <w:r w:rsidDel="00000000" w:rsidR="00000000" w:rsidRPr="00000000">
        <w:rPr>
          <w:sz w:val="30"/>
          <w:szCs w:val="30"/>
          <w:rtl w:val="0"/>
        </w:rPr>
        <w:t xml:space="preserve">Rojas Pessuto Tobías (</w:t>
      </w:r>
      <w:hyperlink r:id="rId9">
        <w:r w:rsidDel="00000000" w:rsidR="00000000" w:rsidRPr="00000000">
          <w:rPr>
            <w:rFonts w:ascii="Roboto" w:cs="Roboto" w:eastAsia="Roboto" w:hAnsi="Roboto"/>
            <w:color w:val="1155cc"/>
            <w:sz w:val="30"/>
            <w:szCs w:val="30"/>
            <w:u w:val="single"/>
            <w:rtl w:val="0"/>
          </w:rPr>
          <w:t xml:space="preserve">tobiasfabian.023@gmail.com</w:t>
        </w:r>
      </w:hyperlink>
      <w:r w:rsidDel="00000000" w:rsidR="00000000" w:rsidRPr="00000000">
        <w:rPr>
          <w:sz w:val="30"/>
          <w:szCs w:val="30"/>
          <w:rtl w:val="0"/>
        </w:rPr>
        <w:t xml:space="preserve">) </w:t>
      </w:r>
    </w:p>
    <w:p w:rsidR="00000000" w:rsidDel="00000000" w:rsidP="00000000" w:rsidRDefault="00000000" w:rsidRPr="00000000" w14:paraId="00000014">
      <w:pPr>
        <w:numPr>
          <w:ilvl w:val="0"/>
          <w:numId w:val="1"/>
        </w:numPr>
        <w:ind w:left="720" w:hanging="360"/>
        <w:rPr>
          <w:sz w:val="30"/>
          <w:szCs w:val="30"/>
        </w:rPr>
      </w:pPr>
      <w:r w:rsidDel="00000000" w:rsidR="00000000" w:rsidRPr="00000000">
        <w:rPr>
          <w:sz w:val="30"/>
          <w:szCs w:val="30"/>
          <w:rtl w:val="0"/>
        </w:rPr>
        <w:t xml:space="preserve">Pineda Álvaro (</w:t>
      </w:r>
      <w:hyperlink r:id="rId10">
        <w:r w:rsidDel="00000000" w:rsidR="00000000" w:rsidRPr="00000000">
          <w:rPr>
            <w:color w:val="1155cc"/>
            <w:sz w:val="30"/>
            <w:szCs w:val="30"/>
            <w:u w:val="single"/>
            <w:rtl w:val="0"/>
          </w:rPr>
          <w:t xml:space="preserve">alvaropineda1017@gmail.com</w:t>
        </w:r>
      </w:hyperlink>
      <w:r w:rsidDel="00000000" w:rsidR="00000000" w:rsidRPr="00000000">
        <w:rPr>
          <w:sz w:val="30"/>
          <w:szCs w:val="30"/>
          <w:rtl w:val="0"/>
        </w:rPr>
        <w:t xml:space="preserve">) </w:t>
      </w:r>
    </w:p>
    <w:p w:rsidR="00000000" w:rsidDel="00000000" w:rsidP="00000000" w:rsidRDefault="00000000" w:rsidRPr="00000000" w14:paraId="00000015">
      <w:pPr>
        <w:rPr>
          <w:b w:val="1"/>
          <w:bCs w:val="1"/>
          <w:sz w:val="30"/>
          <w:szCs w:val="3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rPr>
          <w:sz w:val="30"/>
          <w:szCs w:val="30"/>
        </w:rPr>
      </w:pPr>
      <w:r w:rsidDel="00000000" w:rsidR="00000000" w:rsidRPr="00000000">
        <w:rPr>
          <w:b w:val="1"/>
          <w:bCs w:val="1"/>
          <w:sz w:val="30"/>
          <w:szCs w:val="30"/>
          <w:rtl w:val="0"/>
        </w:rPr>
        <w:t xml:space="preserve">Docentes</w:t>
      </w:r>
      <w:r w:rsidDel="00000000" w:rsidR="00000000" w:rsidRPr="00000000">
        <w:rPr>
          <w:sz w:val="30"/>
          <w:szCs w:val="30"/>
          <w:rtl w:val="0"/>
        </w:rPr>
        <w:t xml:space="preserve">:</w:t>
      </w:r>
    </w:p>
    <w:p w:rsidR="00000000" w:rsidDel="00000000" w:rsidP="00000000" w:rsidRDefault="00000000" w:rsidRPr="00000000" w14:paraId="00000018">
      <w:pPr>
        <w:numPr>
          <w:ilvl w:val="0"/>
          <w:numId w:val="5"/>
        </w:numPr>
        <w:ind w:left="720" w:hanging="360"/>
        <w:rPr>
          <w:sz w:val="30"/>
          <w:szCs w:val="30"/>
        </w:rPr>
      </w:pPr>
      <w:r w:rsidDel="00000000" w:rsidR="00000000" w:rsidRPr="00000000">
        <w:rPr>
          <w:sz w:val="30"/>
          <w:szCs w:val="30"/>
          <w:rtl w:val="0"/>
        </w:rPr>
        <w:t xml:space="preserve">Christian Villafañe </w:t>
      </w:r>
      <w:r w:rsidDel="00000000" w:rsidR="00000000" w:rsidRPr="00000000">
        <w:rPr>
          <w:rtl w:val="0"/>
        </w:rPr>
      </w:r>
    </w:p>
    <w:p w:rsidR="00000000" w:rsidDel="00000000" w:rsidP="00000000" w:rsidRDefault="00000000" w:rsidRPr="00000000" w14:paraId="00000019">
      <w:pPr>
        <w:pStyle w:val="Heading1"/>
        <w:rPr/>
      </w:pPr>
      <w:bookmarkStart w:colFirst="0" w:colLast="0" w:name="_xphqvha7fo1l" w:id="0"/>
      <w:bookmarkEnd w:id="0"/>
      <w:r w:rsidDel="00000000" w:rsidR="00000000" w:rsidRPr="00000000">
        <w:br w:type="page"/>
      </w:r>
      <w:r w:rsidDel="00000000" w:rsidR="00000000" w:rsidRPr="00000000">
        <w:rPr>
          <w:rtl w:val="0"/>
        </w:rPr>
      </w:r>
    </w:p>
    <w:sdt>
      <w:sdtPr>
        <w:id w:val="83906608"/>
        <w:docPartObj>
          <w:docPartGallery w:val="Table of Contents"/>
          <w:docPartUnique w:val="1"/>
        </w:docPartObj>
      </w:sdtPr>
      <w:sdtContent>
        <w:p w:rsidR="00000000" w:rsidDel="00000000" w:rsidP="00000000" w:rsidRDefault="00000000" w:rsidRPr="00000000" w14:paraId="0000001A">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pq9eqybdnge">
            <w:r w:rsidDel="00000000" w:rsidR="00000000" w:rsidRPr="00000000">
              <w:rPr>
                <w:b w:val="1"/>
                <w:bCs w:val="1"/>
                <w:color w:val="000000"/>
                <w:u w:val="none"/>
                <w:rtl w:val="0"/>
              </w:rPr>
              <w:t xml:space="preserve">Propuesta Formal de Proyecto y Alcance Inicial V1.0</w:t>
              <w:tab/>
            </w:r>
          </w:hyperlink>
          <w:r w:rsidDel="00000000" w:rsidR="00000000" w:rsidRPr="00000000">
            <w:fldChar w:fldCharType="begin"/>
            <w:instrText xml:space="preserve"> PAGEREF _3pq9eqybdnge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360" w:firstLine="0"/>
            <w:rPr>
              <w:color w:val="000000"/>
              <w:u w:val="none"/>
            </w:rPr>
          </w:pPr>
          <w:hyperlink w:anchor="_nsrid732vwol">
            <w:r w:rsidDel="00000000" w:rsidR="00000000" w:rsidRPr="00000000">
              <w:rPr>
                <w:color w:val="000000"/>
                <w:u w:val="none"/>
                <w:rtl w:val="0"/>
              </w:rPr>
              <w:t xml:space="preserve">1. Contexto y entorno de aplicación</w:t>
              <w:tab/>
            </w:r>
          </w:hyperlink>
          <w:r w:rsidDel="00000000" w:rsidR="00000000" w:rsidRPr="00000000">
            <w:fldChar w:fldCharType="begin"/>
            <w:instrText xml:space="preserve"> PAGEREF _nsrid732vwol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ddxxvnxejeg3">
            <w:r w:rsidDel="00000000" w:rsidR="00000000" w:rsidRPr="00000000">
              <w:rPr>
                <w:color w:val="000000"/>
                <w:u w:val="none"/>
                <w:rtl w:val="0"/>
              </w:rPr>
              <w:t xml:space="preserve">1.1. Selección del ámbito</w:t>
              <w:tab/>
            </w:r>
          </w:hyperlink>
          <w:r w:rsidDel="00000000" w:rsidR="00000000" w:rsidRPr="00000000">
            <w:fldChar w:fldCharType="begin"/>
            <w:instrText xml:space="preserve"> PAGEREF _ddxxvnxejeg3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720" w:firstLine="0"/>
            <w:rPr>
              <w:color w:val="000000"/>
              <w:u w:val="none"/>
            </w:rPr>
          </w:pPr>
          <w:hyperlink w:anchor="_vp57pf2yub7r">
            <w:r w:rsidDel="00000000" w:rsidR="00000000" w:rsidRPr="00000000">
              <w:rPr>
                <w:color w:val="000000"/>
                <w:u w:val="none"/>
                <w:rtl w:val="0"/>
              </w:rPr>
              <w:t xml:space="preserve">1.2. Estudio del ámbito / organización</w:t>
              <w:tab/>
            </w:r>
          </w:hyperlink>
          <w:r w:rsidDel="00000000" w:rsidR="00000000" w:rsidRPr="00000000">
            <w:fldChar w:fldCharType="begin"/>
            <w:instrText xml:space="preserve"> PAGEREF _vp57pf2yub7r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720" w:firstLine="0"/>
            <w:rPr>
              <w:color w:val="000000"/>
              <w:u w:val="none"/>
            </w:rPr>
          </w:pPr>
          <w:hyperlink w:anchor="_5w3ngrzftj0w">
            <w:r w:rsidDel="00000000" w:rsidR="00000000" w:rsidRPr="00000000">
              <w:rPr>
                <w:color w:val="000000"/>
                <w:u w:val="none"/>
                <w:rtl w:val="0"/>
              </w:rPr>
              <w:t xml:space="preserve">1.3. Diagnóstico del sistema de información actual</w:t>
              <w:tab/>
            </w:r>
          </w:hyperlink>
          <w:r w:rsidDel="00000000" w:rsidR="00000000" w:rsidRPr="00000000">
            <w:fldChar w:fldCharType="begin"/>
            <w:instrText xml:space="preserve"> PAGEREF _5w3ngrzftj0w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360" w:firstLine="0"/>
            <w:rPr>
              <w:color w:val="000000"/>
              <w:u w:val="none"/>
            </w:rPr>
          </w:pPr>
          <w:hyperlink w:anchor="_1aixvqrf4zax">
            <w:r w:rsidDel="00000000" w:rsidR="00000000" w:rsidRPr="00000000">
              <w:rPr>
                <w:color w:val="000000"/>
                <w:u w:val="none"/>
                <w:rtl w:val="0"/>
              </w:rPr>
              <w:t xml:space="preserve">2. Planteamiento del problema y antecedentes</w:t>
              <w:tab/>
            </w:r>
          </w:hyperlink>
          <w:r w:rsidDel="00000000" w:rsidR="00000000" w:rsidRPr="00000000">
            <w:fldChar w:fldCharType="begin"/>
            <w:instrText xml:space="preserve"> PAGEREF _1aixvqrf4zax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720" w:firstLine="0"/>
            <w:rPr>
              <w:color w:val="000000"/>
              <w:u w:val="none"/>
            </w:rPr>
          </w:pPr>
          <w:hyperlink w:anchor="_xr33zum30bj9">
            <w:r w:rsidDel="00000000" w:rsidR="00000000" w:rsidRPr="00000000">
              <w:rPr>
                <w:color w:val="000000"/>
                <w:u w:val="none"/>
                <w:rtl w:val="0"/>
              </w:rPr>
              <w:t xml:space="preserve">2.1. Identificación de problemas y necesidades</w:t>
              <w:tab/>
            </w:r>
          </w:hyperlink>
          <w:r w:rsidDel="00000000" w:rsidR="00000000" w:rsidRPr="00000000">
            <w:fldChar w:fldCharType="begin"/>
            <w:instrText xml:space="preserve"> PAGEREF _xr33zum30bj9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uy1uyd58fv4b">
            <w:r w:rsidDel="00000000" w:rsidR="00000000" w:rsidRPr="00000000">
              <w:rPr>
                <w:color w:val="000000"/>
                <w:u w:val="none"/>
                <w:rtl w:val="0"/>
              </w:rPr>
              <w:t xml:space="preserve">2.2. Antecedentes</w:t>
              <w:tab/>
            </w:r>
          </w:hyperlink>
          <w:r w:rsidDel="00000000" w:rsidR="00000000" w:rsidRPr="00000000">
            <w:fldChar w:fldCharType="begin"/>
            <w:instrText xml:space="preserve"> PAGEREF _uy1uyd58fv4b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720" w:firstLine="0"/>
            <w:rPr>
              <w:color w:val="000000"/>
              <w:u w:val="none"/>
            </w:rPr>
          </w:pPr>
          <w:hyperlink w:anchor="_qfao2aw1v9mv">
            <w:r w:rsidDel="00000000" w:rsidR="00000000" w:rsidRPr="00000000">
              <w:rPr>
                <w:color w:val="000000"/>
                <w:u w:val="none"/>
                <w:rtl w:val="0"/>
              </w:rPr>
              <w:t xml:space="preserve">2.3. Evolución del modelo (contexto de la V1.0)</w:t>
              <w:tab/>
            </w:r>
          </w:hyperlink>
          <w:r w:rsidDel="00000000" w:rsidR="00000000" w:rsidRPr="00000000">
            <w:fldChar w:fldCharType="begin"/>
            <w:instrText xml:space="preserve"> PAGEREF _qfao2aw1v9mv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360" w:firstLine="0"/>
            <w:rPr>
              <w:color w:val="000000"/>
              <w:u w:val="none"/>
            </w:rPr>
          </w:pPr>
          <w:hyperlink w:anchor="_qosv9fucnhh">
            <w:r w:rsidDel="00000000" w:rsidR="00000000" w:rsidRPr="00000000">
              <w:rPr>
                <w:color w:val="000000"/>
                <w:u w:val="none"/>
                <w:rtl w:val="0"/>
              </w:rPr>
              <w:t xml:space="preserve">3. Análisis estratégico y de viabilidad</w:t>
              <w:tab/>
            </w:r>
          </w:hyperlink>
          <w:r w:rsidDel="00000000" w:rsidR="00000000" w:rsidRPr="00000000">
            <w:fldChar w:fldCharType="begin"/>
            <w:instrText xml:space="preserve"> PAGEREF _qosv9fucnhh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720" w:firstLine="0"/>
            <w:rPr>
              <w:color w:val="000000"/>
              <w:u w:val="none"/>
            </w:rPr>
          </w:pPr>
          <w:hyperlink w:anchor="_d2o8ndrt44pi">
            <w:r w:rsidDel="00000000" w:rsidR="00000000" w:rsidRPr="00000000">
              <w:rPr>
                <w:color w:val="000000"/>
                <w:u w:val="none"/>
                <w:rtl w:val="0"/>
              </w:rPr>
              <w:t xml:space="preserve">3.1. Análisis FODA</w:t>
              <w:tab/>
            </w:r>
          </w:hyperlink>
          <w:r w:rsidDel="00000000" w:rsidR="00000000" w:rsidRPr="00000000">
            <w:fldChar w:fldCharType="begin"/>
            <w:instrText xml:space="preserve"> PAGEREF _d2o8ndrt44pi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1080" w:firstLine="0"/>
            <w:rPr>
              <w:color w:val="000000"/>
              <w:u w:val="none"/>
            </w:rPr>
          </w:pPr>
          <w:hyperlink w:anchor="_5gv9datxctiv">
            <w:r w:rsidDel="00000000" w:rsidR="00000000" w:rsidRPr="00000000">
              <w:rPr>
                <w:color w:val="000000"/>
                <w:u w:val="none"/>
                <w:rtl w:val="0"/>
              </w:rPr>
              <w:t xml:space="preserve">Fortalezas (internas, positivas)</w:t>
              <w:tab/>
            </w:r>
          </w:hyperlink>
          <w:r w:rsidDel="00000000" w:rsidR="00000000" w:rsidRPr="00000000">
            <w:fldChar w:fldCharType="begin"/>
            <w:instrText xml:space="preserve"> PAGEREF _5gv9datxctiv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1080" w:firstLine="0"/>
            <w:rPr>
              <w:color w:val="000000"/>
              <w:u w:val="none"/>
            </w:rPr>
          </w:pPr>
          <w:hyperlink w:anchor="_t4bwvfmx8tor">
            <w:r w:rsidDel="00000000" w:rsidR="00000000" w:rsidRPr="00000000">
              <w:rPr>
                <w:color w:val="000000"/>
                <w:u w:val="none"/>
                <w:rtl w:val="0"/>
              </w:rPr>
              <w:t xml:space="preserve">Oportunidades (externas, positivas)</w:t>
              <w:tab/>
            </w:r>
          </w:hyperlink>
          <w:r w:rsidDel="00000000" w:rsidR="00000000" w:rsidRPr="00000000">
            <w:fldChar w:fldCharType="begin"/>
            <w:instrText xml:space="preserve"> PAGEREF _t4bwvfmx8tor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1080" w:firstLine="0"/>
            <w:rPr>
              <w:color w:val="000000"/>
              <w:u w:val="none"/>
            </w:rPr>
          </w:pPr>
          <w:hyperlink w:anchor="_uqgrgddz9rfd">
            <w:r w:rsidDel="00000000" w:rsidR="00000000" w:rsidRPr="00000000">
              <w:rPr>
                <w:color w:val="000000"/>
                <w:u w:val="none"/>
                <w:rtl w:val="0"/>
              </w:rPr>
              <w:t xml:space="preserve">Debilidades (internas, negativas)</w:t>
              <w:tab/>
            </w:r>
          </w:hyperlink>
          <w:r w:rsidDel="00000000" w:rsidR="00000000" w:rsidRPr="00000000">
            <w:fldChar w:fldCharType="begin"/>
            <w:instrText xml:space="preserve"> PAGEREF _uqgrgddz9rfd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1080" w:firstLine="0"/>
            <w:rPr>
              <w:color w:val="000000"/>
              <w:u w:val="none"/>
            </w:rPr>
          </w:pPr>
          <w:hyperlink w:anchor="_xdylfwjxqpkv">
            <w:r w:rsidDel="00000000" w:rsidR="00000000" w:rsidRPr="00000000">
              <w:rPr>
                <w:color w:val="000000"/>
                <w:u w:val="none"/>
                <w:rtl w:val="0"/>
              </w:rPr>
              <w:t xml:space="preserve">Amenazas (externas, negativas)</w:t>
              <w:tab/>
            </w:r>
          </w:hyperlink>
          <w:r w:rsidDel="00000000" w:rsidR="00000000" w:rsidRPr="00000000">
            <w:fldChar w:fldCharType="begin"/>
            <w:instrText xml:space="preserve"> PAGEREF _xdylfwjxqpkv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720" w:firstLine="0"/>
            <w:rPr>
              <w:color w:val="000000"/>
              <w:u w:val="none"/>
            </w:rPr>
          </w:pPr>
          <w:hyperlink w:anchor="_hdc34w9q9dfi">
            <w:r w:rsidDel="00000000" w:rsidR="00000000" w:rsidRPr="00000000">
              <w:rPr>
                <w:color w:val="000000"/>
                <w:u w:val="none"/>
                <w:rtl w:val="0"/>
              </w:rPr>
              <w:t xml:space="preserve">3.2. Estudio de factibilidad</w:t>
              <w:tab/>
            </w:r>
          </w:hyperlink>
          <w:r w:rsidDel="00000000" w:rsidR="00000000" w:rsidRPr="00000000">
            <w:fldChar w:fldCharType="begin"/>
            <w:instrText xml:space="preserve"> PAGEREF _hdc34w9q9dfi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1080" w:firstLine="0"/>
            <w:rPr>
              <w:color w:val="000000"/>
              <w:u w:val="none"/>
            </w:rPr>
          </w:pPr>
          <w:hyperlink w:anchor="_cgg5tos0o9q1">
            <w:r w:rsidDel="00000000" w:rsidR="00000000" w:rsidRPr="00000000">
              <w:rPr>
                <w:color w:val="000000"/>
                <w:u w:val="none"/>
                <w:rtl w:val="0"/>
              </w:rPr>
              <w:t xml:space="preserve">3.2.1. Factibilidad técnica — Viable</w:t>
              <w:tab/>
            </w:r>
          </w:hyperlink>
          <w:r w:rsidDel="00000000" w:rsidR="00000000" w:rsidRPr="00000000">
            <w:fldChar w:fldCharType="begin"/>
            <w:instrText xml:space="preserve"> PAGEREF _cgg5tos0o9q1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1080" w:firstLine="0"/>
            <w:rPr>
              <w:color w:val="000000"/>
              <w:u w:val="none"/>
            </w:rPr>
          </w:pPr>
          <w:hyperlink w:anchor="_ej32z5vqz5mk">
            <w:r w:rsidDel="00000000" w:rsidR="00000000" w:rsidRPr="00000000">
              <w:rPr>
                <w:color w:val="000000"/>
                <w:u w:val="none"/>
                <w:rtl w:val="0"/>
              </w:rPr>
              <w:t xml:space="preserve">3.2.2. Factibilidad operativa — Viable con condiciones</w:t>
              <w:tab/>
            </w:r>
          </w:hyperlink>
          <w:r w:rsidDel="00000000" w:rsidR="00000000" w:rsidRPr="00000000">
            <w:fldChar w:fldCharType="begin"/>
            <w:instrText xml:space="preserve"> PAGEREF _ej32z5vqz5mk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1080" w:firstLine="0"/>
            <w:rPr>
              <w:color w:val="000000"/>
              <w:u w:val="none"/>
            </w:rPr>
          </w:pPr>
          <w:hyperlink w:anchor="_ervzxv16j3x8">
            <w:r w:rsidDel="00000000" w:rsidR="00000000" w:rsidRPr="00000000">
              <w:rPr>
                <w:color w:val="000000"/>
                <w:u w:val="none"/>
                <w:rtl w:val="0"/>
              </w:rPr>
              <w:t xml:space="preserve">3.2.3. Factibilidad económica — Viable en marco académico, a validar para producción</w:t>
              <w:tab/>
            </w:r>
          </w:hyperlink>
          <w:r w:rsidDel="00000000" w:rsidR="00000000" w:rsidRPr="00000000">
            <w:fldChar w:fldCharType="begin"/>
            <w:instrText xml:space="preserve"> PAGEREF _ervzxv16j3x8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360" w:firstLine="0"/>
            <w:rPr>
              <w:color w:val="000000"/>
              <w:u w:val="none"/>
            </w:rPr>
          </w:pPr>
          <w:hyperlink w:anchor="_tu7upwngdqzp">
            <w:r w:rsidDel="00000000" w:rsidR="00000000" w:rsidRPr="00000000">
              <w:rPr>
                <w:color w:val="000000"/>
                <w:u w:val="none"/>
                <w:rtl w:val="0"/>
              </w:rPr>
              <w:t xml:space="preserve">4. Definiciones</w:t>
              <w:tab/>
            </w:r>
          </w:hyperlink>
          <w:r w:rsidDel="00000000" w:rsidR="00000000" w:rsidRPr="00000000">
            <w:fldChar w:fldCharType="begin"/>
            <w:instrText xml:space="preserve"> PAGEREF _tu7upwngdqzp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color w:val="000000"/>
              <w:u w:val="none"/>
            </w:rPr>
          </w:pPr>
          <w:hyperlink w:anchor="_cymcmsd81rxt">
            <w:r w:rsidDel="00000000" w:rsidR="00000000" w:rsidRPr="00000000">
              <w:rPr>
                <w:color w:val="000000"/>
                <w:u w:val="none"/>
                <w:rtl w:val="0"/>
              </w:rPr>
              <w:t xml:space="preserve">4.1. Reglas de negocio</w:t>
              <w:tab/>
            </w:r>
          </w:hyperlink>
          <w:r w:rsidDel="00000000" w:rsidR="00000000" w:rsidRPr="00000000">
            <w:fldChar w:fldCharType="begin"/>
            <w:instrText xml:space="preserve"> PAGEREF _cymcmsd81rxt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720" w:firstLine="0"/>
            <w:rPr>
              <w:color w:val="000000"/>
              <w:u w:val="none"/>
            </w:rPr>
          </w:pPr>
          <w:hyperlink w:anchor="_47vo7dtf6l4p">
            <w:r w:rsidDel="00000000" w:rsidR="00000000" w:rsidRPr="00000000">
              <w:rPr>
                <w:color w:val="000000"/>
                <w:u w:val="none"/>
                <w:rtl w:val="0"/>
              </w:rPr>
              <w:t xml:space="preserve">4.2. Propuesta de investigación / capacitación</w:t>
              <w:tab/>
            </w:r>
          </w:hyperlink>
          <w:r w:rsidDel="00000000" w:rsidR="00000000" w:rsidRPr="00000000">
            <w:fldChar w:fldCharType="begin"/>
            <w:instrText xml:space="preserve"> PAGEREF _47vo7dtf6l4p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1080" w:firstLine="0"/>
            <w:rPr>
              <w:color w:val="000000"/>
              <w:u w:val="none"/>
            </w:rPr>
          </w:pPr>
          <w:hyperlink w:anchor="_7fwt44hj0p3o">
            <w:r w:rsidDel="00000000" w:rsidR="00000000" w:rsidRPr="00000000">
              <w:rPr>
                <w:color w:val="000000"/>
                <w:u w:val="none"/>
                <w:rtl w:val="0"/>
              </w:rPr>
              <w:t xml:space="preserve">Prioridad alta (bloqueantes para el MVP)</w:t>
              <w:tab/>
            </w:r>
          </w:hyperlink>
          <w:r w:rsidDel="00000000" w:rsidR="00000000" w:rsidRPr="00000000">
            <w:fldChar w:fldCharType="begin"/>
            <w:instrText xml:space="preserve"> PAGEREF _7fwt44hj0p3o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1080" w:firstLine="0"/>
            <w:rPr>
              <w:color w:val="000000"/>
              <w:u w:val="none"/>
            </w:rPr>
          </w:pPr>
          <w:hyperlink w:anchor="_ol1cmfnff1y6">
            <w:r w:rsidDel="00000000" w:rsidR="00000000" w:rsidRPr="00000000">
              <w:rPr>
                <w:color w:val="000000"/>
                <w:u w:val="none"/>
                <w:rtl w:val="0"/>
              </w:rPr>
              <w:t xml:space="preserve">Prioridad media (necesarios durante el desarrollo)</w:t>
              <w:tab/>
            </w:r>
          </w:hyperlink>
          <w:r w:rsidDel="00000000" w:rsidR="00000000" w:rsidRPr="00000000">
            <w:fldChar w:fldCharType="begin"/>
            <w:instrText xml:space="preserve"> PAGEREF _ol1cmfnff1y6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1080" w:firstLine="0"/>
            <w:rPr>
              <w:color w:val="000000"/>
              <w:u w:val="none"/>
            </w:rPr>
          </w:pPr>
          <w:hyperlink w:anchor="_j7iyjgslii4z">
            <w:r w:rsidDel="00000000" w:rsidR="00000000" w:rsidRPr="00000000">
              <w:rPr>
                <w:color w:val="000000"/>
                <w:u w:val="none"/>
                <w:rtl w:val="0"/>
              </w:rPr>
              <w:t xml:space="preserve">Prioridad a futuro / investigación complementaria</w:t>
              <w:tab/>
            </w:r>
          </w:hyperlink>
          <w:r w:rsidDel="00000000" w:rsidR="00000000" w:rsidRPr="00000000">
            <w:fldChar w:fldCharType="begin"/>
            <w:instrText xml:space="preserve"> PAGEREF _j7iyjgslii4z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1080" w:firstLine="0"/>
            <w:rPr>
              <w:color w:val="000000"/>
              <w:u w:val="none"/>
            </w:rPr>
          </w:pPr>
          <w:hyperlink w:anchor="_4ovoqp7vd671">
            <w:r w:rsidDel="00000000" w:rsidR="00000000" w:rsidRPr="00000000">
              <w:rPr>
                <w:color w:val="000000"/>
                <w:u w:val="none"/>
                <w:rtl w:val="0"/>
              </w:rPr>
              <w:t xml:space="preserve">Metodología de trabajo del equipo</w:t>
              <w:tab/>
            </w:r>
          </w:hyperlink>
          <w:r w:rsidDel="00000000" w:rsidR="00000000" w:rsidRPr="00000000">
            <w:fldChar w:fldCharType="begin"/>
            <w:instrText xml:space="preserve"> PAGEREF _4ovoqp7vd671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color w:val="000000"/>
              <w:u w:val="none"/>
            </w:rPr>
          </w:pPr>
          <w:hyperlink w:anchor="_oz3dxnf7sfj5">
            <w:r w:rsidDel="00000000" w:rsidR="00000000" w:rsidRPr="00000000">
              <w:rPr>
                <w:color w:val="000000"/>
                <w:u w:val="none"/>
                <w:rtl w:val="0"/>
              </w:rPr>
              <w:t xml:space="preserve">5. Próximos pasos hacia la V1.1</w:t>
              <w:tab/>
            </w:r>
          </w:hyperlink>
          <w:r w:rsidDel="00000000" w:rsidR="00000000" w:rsidRPr="00000000">
            <w:fldChar w:fldCharType="begin"/>
            <w:instrText xml:space="preserve"> PAGEREF _oz3dxnf7sfj5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a3kx6ux86iqs" w:id="1"/>
      <w:bookmarkEnd w:id="1"/>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3pq9eqybdnge" w:id="2"/>
      <w:bookmarkEnd w:id="2"/>
      <w:r w:rsidDel="00000000" w:rsidR="00000000" w:rsidRPr="00000000">
        <w:rPr>
          <w:rtl w:val="0"/>
        </w:rPr>
        <w:t xml:space="preserve">Propuesta Formal de Proyecto y Alcance Inicial V1.0</w:t>
      </w:r>
    </w:p>
    <w:p w:rsidR="00000000" w:rsidDel="00000000" w:rsidP="00000000" w:rsidRDefault="00000000" w:rsidRPr="00000000" w14:paraId="00000038">
      <w:pPr>
        <w:rPr/>
      </w:pPr>
      <w:r w:rsidDel="00000000" w:rsidR="00000000" w:rsidRPr="00000000">
        <w:rPr>
          <w:b w:val="1"/>
          <w:bCs w:val="1"/>
          <w:rtl w:val="0"/>
        </w:rPr>
        <w:t xml:space="preserve">Proyecto:</w:t>
      </w:r>
      <w:r w:rsidDel="00000000" w:rsidR="00000000" w:rsidRPr="00000000">
        <w:rPr>
          <w:rtl w:val="0"/>
        </w:rPr>
        <w:t xml:space="preserve"> ECOToken — Plataforma híbrida de incentivos al reciclaje ciudadano. </w:t>
      </w:r>
    </w:p>
    <w:p w:rsidR="00000000" w:rsidDel="00000000" w:rsidP="00000000" w:rsidRDefault="00000000" w:rsidRPr="00000000" w14:paraId="00000039">
      <w:pPr>
        <w:rPr/>
      </w:pPr>
      <w:r w:rsidDel="00000000" w:rsidR="00000000" w:rsidRPr="00000000">
        <w:rPr>
          <w:b w:val="1"/>
          <w:bCs w:val="1"/>
          <w:rtl w:val="0"/>
        </w:rPr>
        <w:t xml:space="preserve">Versión:</w:t>
      </w:r>
      <w:r w:rsidDel="00000000" w:rsidR="00000000" w:rsidRPr="00000000">
        <w:rPr>
          <w:rtl w:val="0"/>
        </w:rPr>
        <w:t xml:space="preserve"> 1.0 </w:t>
      </w:r>
    </w:p>
    <w:p w:rsidR="00000000" w:rsidDel="00000000" w:rsidP="00000000" w:rsidRDefault="00000000" w:rsidRPr="00000000" w14:paraId="0000003A">
      <w:pPr>
        <w:rPr/>
      </w:pPr>
      <w:r w:rsidDel="00000000" w:rsidR="00000000" w:rsidRPr="00000000">
        <w:rPr>
          <w:b w:val="1"/>
          <w:bCs w:val="1"/>
          <w:rtl w:val="0"/>
        </w:rPr>
        <w:t xml:space="preserve">Fecha:</w:t>
      </w:r>
      <w:r w:rsidDel="00000000" w:rsidR="00000000" w:rsidRPr="00000000">
        <w:rPr>
          <w:rtl w:val="0"/>
        </w:rPr>
        <w:t xml:space="preserve"> 17 Abril 2026 </w:t>
      </w:r>
    </w:p>
    <w:p w:rsidR="00000000" w:rsidDel="00000000" w:rsidP="00000000" w:rsidRDefault="00000000" w:rsidRPr="00000000" w14:paraId="0000003B">
      <w:pPr>
        <w:rPr/>
      </w:pPr>
      <w:r w:rsidDel="00000000" w:rsidR="00000000" w:rsidRPr="00000000">
        <w:rPr>
          <w:b w:val="1"/>
          <w:bCs w:val="1"/>
          <w:rtl w:val="0"/>
        </w:rPr>
        <w:t xml:space="preserve">Carácter del documento:</w:t>
      </w:r>
      <w:r w:rsidDel="00000000" w:rsidR="00000000" w:rsidRPr="00000000">
        <w:rPr>
          <w:rtl w:val="0"/>
        </w:rPr>
        <w:t xml:space="preserve"> Documento vivo. Esta versión constituye la línea base inicial y será iterada a lo largo del ciclo lectivo para incorporar mayor nivel de detalle, precisión y nueva información conforme avance la gestión del proyecto.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pStyle w:val="Heading2"/>
        <w:rPr/>
      </w:pPr>
      <w:bookmarkStart w:colFirst="0" w:colLast="0" w:name="_nsrid732vwol" w:id="3"/>
      <w:bookmarkEnd w:id="3"/>
      <w:r w:rsidDel="00000000" w:rsidR="00000000" w:rsidRPr="00000000">
        <w:rPr>
          <w:rtl w:val="0"/>
        </w:rPr>
        <w:t xml:space="preserve">1. Contexto y entorno de aplicación</w:t>
      </w:r>
    </w:p>
    <w:p w:rsidR="00000000" w:rsidDel="00000000" w:rsidP="00000000" w:rsidRDefault="00000000" w:rsidRPr="00000000" w14:paraId="0000003E">
      <w:pPr>
        <w:pStyle w:val="Heading3"/>
        <w:rPr/>
      </w:pPr>
      <w:bookmarkStart w:colFirst="0" w:colLast="0" w:name="_ddxxvnxejeg3" w:id="4"/>
      <w:bookmarkEnd w:id="4"/>
      <w:r w:rsidDel="00000000" w:rsidR="00000000" w:rsidRPr="00000000">
        <w:rPr>
          <w:rtl w:val="0"/>
        </w:rPr>
        <w:t xml:space="preserve">1.1. Selección del ámbito</w:t>
      </w:r>
    </w:p>
    <w:p w:rsidR="00000000" w:rsidDel="00000000" w:rsidP="00000000" w:rsidRDefault="00000000" w:rsidRPr="00000000" w14:paraId="0000003F">
      <w:pPr>
        <w:numPr>
          <w:ilvl w:val="0"/>
          <w:numId w:val="6"/>
        </w:numPr>
        <w:ind w:left="720" w:hanging="360"/>
      </w:pPr>
      <w:r w:rsidDel="00000000" w:rsidR="00000000" w:rsidRPr="00000000">
        <w:rPr>
          <w:b w:val="1"/>
          <w:bCs w:val="1"/>
          <w:rtl w:val="0"/>
        </w:rPr>
        <w:t xml:space="preserve">Tipo de proyecto:</w:t>
      </w:r>
      <w:r w:rsidDel="00000000" w:rsidR="00000000" w:rsidRPr="00000000">
        <w:rPr>
          <w:rtl w:val="0"/>
        </w:rPr>
        <w:t xml:space="preserve"> Emprendimiento tecnológico de impacto social y ambiental.</w:t>
      </w:r>
    </w:p>
    <w:p w:rsidR="00000000" w:rsidDel="00000000" w:rsidP="00000000" w:rsidRDefault="00000000" w:rsidRPr="00000000" w14:paraId="00000040">
      <w:pPr>
        <w:numPr>
          <w:ilvl w:val="0"/>
          <w:numId w:val="6"/>
        </w:numPr>
        <w:ind w:left="720" w:hanging="360"/>
      </w:pPr>
      <w:r w:rsidDel="00000000" w:rsidR="00000000" w:rsidRPr="00000000">
        <w:rPr>
          <w:b w:val="1"/>
          <w:bCs w:val="1"/>
          <w:rtl w:val="0"/>
        </w:rPr>
        <w:t xml:space="preserve">Sector / rubro:</w:t>
      </w:r>
      <w:r w:rsidDel="00000000" w:rsidR="00000000" w:rsidRPr="00000000">
        <w:rPr>
          <w:rtl w:val="0"/>
        </w:rPr>
        <w:t xml:space="preserve"> Comercio minorista (supermercados) articulado con la gestión de residuos sólidos urbanos (RSU) reciclables.</w:t>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Sector de aplicación:</w:t>
      </w:r>
      <w:r w:rsidDel="00000000" w:rsidR="00000000" w:rsidRPr="00000000">
        <w:rPr>
          <w:rtl w:val="0"/>
        </w:rPr>
        <w:t xml:space="preserve"> Supermercados locales adheridos como puntos de acopio, cooperativas de reciclaje como actores logísticos y de valorización del material, y municipio como regulador y validador del impacto ambiental.</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Alcance geográfico inicial:</w:t>
      </w:r>
      <w:r w:rsidDel="00000000" w:rsidR="00000000" w:rsidRPr="00000000">
        <w:rPr>
          <w:rtl w:val="0"/>
        </w:rPr>
        <w:t xml:space="preserve"> Piloto en la ciudad de Villa María, provincia de Córdoba, Argentina.</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Organismos relacionados:</w:t>
      </w:r>
      <w:r w:rsidDel="00000000" w:rsidR="00000000" w:rsidRPr="00000000">
        <w:rPr>
          <w:rtl w:val="0"/>
        </w:rPr>
      </w:r>
    </w:p>
    <w:p w:rsidR="00000000" w:rsidDel="00000000" w:rsidP="00000000" w:rsidRDefault="00000000" w:rsidRPr="00000000" w14:paraId="00000044">
      <w:pPr>
        <w:numPr>
          <w:ilvl w:val="1"/>
          <w:numId w:val="6"/>
        </w:numPr>
        <w:ind w:left="1440" w:hanging="360"/>
      </w:pPr>
      <w:r w:rsidDel="00000000" w:rsidR="00000000" w:rsidRPr="00000000">
        <w:rPr>
          <w:rtl w:val="0"/>
        </w:rPr>
        <w:t xml:space="preserve">Supermercados locales adheridos.</w:t>
      </w:r>
    </w:p>
    <w:p w:rsidR="00000000" w:rsidDel="00000000" w:rsidP="00000000" w:rsidRDefault="00000000" w:rsidRPr="00000000" w14:paraId="00000045">
      <w:pPr>
        <w:numPr>
          <w:ilvl w:val="1"/>
          <w:numId w:val="6"/>
        </w:numPr>
        <w:ind w:left="1440" w:hanging="360"/>
      </w:pPr>
      <w:r w:rsidDel="00000000" w:rsidR="00000000" w:rsidRPr="00000000">
        <w:rPr>
          <w:rtl w:val="0"/>
        </w:rPr>
        <w:t xml:space="preserve">Cooperativas de reciclaje de la región (contacto inicial previsto con la Cooperativa "7 de Febrero").</w:t>
      </w:r>
    </w:p>
    <w:p w:rsidR="00000000" w:rsidDel="00000000" w:rsidP="00000000" w:rsidRDefault="00000000" w:rsidRPr="00000000" w14:paraId="00000046">
      <w:pPr>
        <w:numPr>
          <w:ilvl w:val="1"/>
          <w:numId w:val="6"/>
        </w:numPr>
        <w:ind w:left="1440" w:hanging="360"/>
      </w:pPr>
      <w:r w:rsidDel="00000000" w:rsidR="00000000" w:rsidRPr="00000000">
        <w:rPr>
          <w:rtl w:val="0"/>
        </w:rPr>
        <w:t xml:space="preserve">Municipalidad de Villa María (área de ambiente y gestión de RSU).</w:t>
      </w:r>
    </w:p>
    <w:p w:rsidR="00000000" w:rsidDel="00000000" w:rsidP="00000000" w:rsidRDefault="00000000" w:rsidRPr="00000000" w14:paraId="00000047">
      <w:pPr>
        <w:pStyle w:val="Heading3"/>
        <w:rPr/>
      </w:pPr>
      <w:bookmarkStart w:colFirst="0" w:colLast="0" w:name="_vp57pf2yub7r" w:id="5"/>
      <w:bookmarkEnd w:id="5"/>
      <w:r w:rsidDel="00000000" w:rsidR="00000000" w:rsidRPr="00000000">
        <w:rPr>
          <w:rtl w:val="0"/>
        </w:rPr>
        <w:t xml:space="preserve">1.2. Estudio del ámbito / organización</w:t>
      </w:r>
    </w:p>
    <w:p w:rsidR="00000000" w:rsidDel="00000000" w:rsidP="00000000" w:rsidRDefault="00000000" w:rsidRPr="00000000" w14:paraId="00000048">
      <w:pPr>
        <w:rPr/>
      </w:pPr>
      <w:r w:rsidDel="00000000" w:rsidR="00000000" w:rsidRPr="00000000">
        <w:rPr>
          <w:rtl w:val="0"/>
        </w:rPr>
        <w:t xml:space="preserve">El proyecto se desarrolla en la intersección de tres actores con intereses complementarios pero hoy débilmente articulados: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6"/>
        </w:numPr>
        <w:ind w:left="720" w:hanging="360"/>
      </w:pPr>
      <w:r w:rsidDel="00000000" w:rsidR="00000000" w:rsidRPr="00000000">
        <w:rPr>
          <w:b w:val="1"/>
          <w:bCs w:val="1"/>
          <w:rtl w:val="0"/>
        </w:rPr>
        <w:t xml:space="preserve">Ciudadano / consumidor:</w:t>
      </w:r>
      <w:r w:rsidDel="00000000" w:rsidR="00000000" w:rsidRPr="00000000">
        <w:rPr>
          <w:rtl w:val="0"/>
        </w:rPr>
        <w:t xml:space="preserve"> genera residuos reciclables en su hogar (plástico, vidrio, cartón) y habitualmente no cuenta con incentivos económicos concretos para separarlos y entregarlos.</w:t>
      </w:r>
    </w:p>
    <w:p w:rsidR="00000000" w:rsidDel="00000000" w:rsidP="00000000" w:rsidRDefault="00000000" w:rsidRPr="00000000" w14:paraId="0000004B">
      <w:pPr>
        <w:numPr>
          <w:ilvl w:val="0"/>
          <w:numId w:val="6"/>
        </w:numPr>
        <w:ind w:left="720" w:hanging="360"/>
      </w:pPr>
      <w:r w:rsidDel="00000000" w:rsidR="00000000" w:rsidRPr="00000000">
        <w:rPr>
          <w:b w:val="1"/>
          <w:bCs w:val="1"/>
          <w:rtl w:val="0"/>
        </w:rPr>
        <w:t xml:space="preserve">Supermercado minorista:</w:t>
      </w:r>
      <w:r w:rsidDel="00000000" w:rsidR="00000000" w:rsidRPr="00000000">
        <w:rPr>
          <w:rtl w:val="0"/>
        </w:rPr>
        <w:t xml:space="preserve"> opera sobre márgenes ajustados, tiene alto tráfico de personas, compite por fidelización y enfrenta presión creciente por demostrar prácticas sostenibles ("eco-friendly") sin un modelo económico claro que lo sustente.</w:t>
      </w:r>
    </w:p>
    <w:p w:rsidR="00000000" w:rsidDel="00000000" w:rsidP="00000000" w:rsidRDefault="00000000" w:rsidRPr="00000000" w14:paraId="0000004C">
      <w:pPr>
        <w:numPr>
          <w:ilvl w:val="0"/>
          <w:numId w:val="6"/>
        </w:numPr>
        <w:ind w:left="720" w:hanging="360"/>
      </w:pPr>
      <w:r w:rsidDel="00000000" w:rsidR="00000000" w:rsidRPr="00000000">
        <w:rPr>
          <w:b w:val="1"/>
          <w:bCs w:val="1"/>
          <w:rtl w:val="0"/>
        </w:rPr>
        <w:t xml:space="preserve">Cooperativa de reciclaje:</w:t>
      </w:r>
      <w:r w:rsidDel="00000000" w:rsidR="00000000" w:rsidRPr="00000000">
        <w:rPr>
          <w:rtl w:val="0"/>
        </w:rPr>
        <w:t xml:space="preserve"> tiene capacidad operativa de recolección, clasificación y venta del material valorizado, pero depende de flujos de entrada inestables y con escasa trazabilidad.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En la ciudad de Villa María, la gestión de RSU combina recolección municipal diferenciada y circuitos informales de recuperadores urbanos. Los supermercados son, en la práctica, nodos naturales de concentración de público que actualmente no son aprovechados como puntos formales de acopio selectivo con recompensa al ciudadano.</w:t>
      </w:r>
    </w:p>
    <w:p w:rsidR="00000000" w:rsidDel="00000000" w:rsidP="00000000" w:rsidRDefault="00000000" w:rsidRPr="00000000" w14:paraId="0000004F">
      <w:pPr>
        <w:pStyle w:val="Heading3"/>
        <w:rPr/>
      </w:pPr>
      <w:bookmarkStart w:colFirst="0" w:colLast="0" w:name="_5w3ngrzftj0w" w:id="6"/>
      <w:bookmarkEnd w:id="6"/>
      <w:r w:rsidDel="00000000" w:rsidR="00000000" w:rsidRPr="00000000">
        <w:rPr>
          <w:rtl w:val="0"/>
        </w:rPr>
        <w:t xml:space="preserve">1.3. Diagnóstico del sistema de información actual</w:t>
      </w:r>
    </w:p>
    <w:p w:rsidR="00000000" w:rsidDel="00000000" w:rsidP="00000000" w:rsidRDefault="00000000" w:rsidRPr="00000000" w14:paraId="00000050">
      <w:pPr>
        <w:rPr/>
      </w:pPr>
      <w:r w:rsidDel="00000000" w:rsidR="00000000" w:rsidRPr="00000000">
        <w:rPr>
          <w:rtl w:val="0"/>
        </w:rPr>
        <w:t xml:space="preserve">Del relevamiento preliminar surge que </w:t>
      </w:r>
      <w:r w:rsidDel="00000000" w:rsidR="00000000" w:rsidRPr="00000000">
        <w:rPr>
          <w:b w:val="1"/>
          <w:bCs w:val="1"/>
          <w:rtl w:val="0"/>
        </w:rPr>
        <w:t xml:space="preserve">no existe un sistema de información integrado</w:t>
      </w:r>
      <w:r w:rsidDel="00000000" w:rsidR="00000000" w:rsidRPr="00000000">
        <w:rPr>
          <w:rtl w:val="0"/>
        </w:rPr>
        <w:t xml:space="preserve"> que vincule los tres actores. La situación actual puede describirse así:</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6"/>
        </w:numPr>
        <w:ind w:left="720" w:hanging="360"/>
      </w:pPr>
      <w:r w:rsidDel="00000000" w:rsidR="00000000" w:rsidRPr="00000000">
        <w:rPr>
          <w:b w:val="1"/>
          <w:bCs w:val="1"/>
          <w:rtl w:val="0"/>
        </w:rPr>
        <w:t xml:space="preserve">A nivel ciudadano:</w:t>
      </w:r>
      <w:r w:rsidDel="00000000" w:rsidR="00000000" w:rsidRPr="00000000">
        <w:rPr>
          <w:rtl w:val="0"/>
        </w:rPr>
        <w:t xml:space="preserve"> la información sobre qué reciclar, dónde entregarlo y qué beneficio obtener está dispersa, es informal y no persiste (no hay historial individual del ciudadano que recicla).</w:t>
      </w:r>
    </w:p>
    <w:p w:rsidR="00000000" w:rsidDel="00000000" w:rsidP="00000000" w:rsidRDefault="00000000" w:rsidRPr="00000000" w14:paraId="00000053">
      <w:pPr>
        <w:numPr>
          <w:ilvl w:val="0"/>
          <w:numId w:val="6"/>
        </w:numPr>
        <w:ind w:left="720" w:hanging="360"/>
      </w:pPr>
      <w:r w:rsidDel="00000000" w:rsidR="00000000" w:rsidRPr="00000000">
        <w:rPr>
          <w:b w:val="1"/>
          <w:bCs w:val="1"/>
          <w:rtl w:val="0"/>
        </w:rPr>
        <w:t xml:space="preserve">A nivel supermercado:</w:t>
      </w:r>
      <w:r w:rsidDel="00000000" w:rsidR="00000000" w:rsidRPr="00000000">
        <w:rPr>
          <w:rtl w:val="0"/>
        </w:rPr>
        <w:t xml:space="preserve"> los programas de fidelización tradicionales (puntos, tarjetas de cliente) funcionan como silos propietarios, no son interoperables entre comercios y no están vinculados a conducta ambiental. Cuando existe acopio de reciclables, se registra manualmente o directamente no se registra.</w:t>
      </w:r>
    </w:p>
    <w:p w:rsidR="00000000" w:rsidDel="00000000" w:rsidP="00000000" w:rsidRDefault="00000000" w:rsidRPr="00000000" w14:paraId="00000054">
      <w:pPr>
        <w:numPr>
          <w:ilvl w:val="0"/>
          <w:numId w:val="6"/>
        </w:numPr>
        <w:ind w:left="720" w:hanging="360"/>
      </w:pPr>
      <w:r w:rsidDel="00000000" w:rsidR="00000000" w:rsidRPr="00000000">
        <w:rPr>
          <w:b w:val="1"/>
          <w:bCs w:val="1"/>
          <w:rtl w:val="0"/>
        </w:rPr>
        <w:t xml:space="preserve">A nivel cooperativa:</w:t>
      </w:r>
      <w:r w:rsidDel="00000000" w:rsidR="00000000" w:rsidRPr="00000000">
        <w:rPr>
          <w:rtl w:val="0"/>
        </w:rPr>
        <w:t xml:space="preserve"> los ingresos de material se contabilizan en planillas o software administrativo interno. No hay trazabilidad del origen del material (qué ciudadano lo aportó, en qué supermercado, cuándo) y por lo tanto no puede cerrarse el circuito de recompensa hacia el usuario final.</w:t>
      </w:r>
    </w:p>
    <w:p w:rsidR="00000000" w:rsidDel="00000000" w:rsidP="00000000" w:rsidRDefault="00000000" w:rsidRPr="00000000" w14:paraId="00000055">
      <w:pPr>
        <w:numPr>
          <w:ilvl w:val="0"/>
          <w:numId w:val="6"/>
        </w:numPr>
        <w:ind w:left="720" w:hanging="360"/>
      </w:pPr>
      <w:r w:rsidDel="00000000" w:rsidR="00000000" w:rsidRPr="00000000">
        <w:rPr>
          <w:b w:val="1"/>
          <w:bCs w:val="1"/>
          <w:rtl w:val="0"/>
        </w:rPr>
        <w:t xml:space="preserve">A nivel municipal:</w:t>
      </w:r>
      <w:r w:rsidDel="00000000" w:rsidR="00000000" w:rsidRPr="00000000">
        <w:rPr>
          <w:rtl w:val="0"/>
        </w:rPr>
        <w:t xml:space="preserve"> no se dispone de métricas confiables, auditables e inmutables sobre volumen reciclado por canal comercial, lo que dificulta la rendición de cuentas y la formulación de políticas públicas basadas en evidencia.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En síntesis, la información existe de forma fragmentada, desintegrada y no auditable. No hay una capa única de verdad compartida entre los actores, lo que imposibilita construir confianza e incentivos económicos sobre ella.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bookmarkStart w:colFirst="0" w:colLast="0" w:name="_1aixvqrf4zax" w:id="7"/>
      <w:bookmarkEnd w:id="7"/>
      <w:r w:rsidDel="00000000" w:rsidR="00000000" w:rsidRPr="00000000">
        <w:rPr>
          <w:rtl w:val="0"/>
        </w:rPr>
        <w:t xml:space="preserve">2. Planteamiento del problema y antecedentes</w:t>
      </w:r>
    </w:p>
    <w:p w:rsidR="00000000" w:rsidDel="00000000" w:rsidP="00000000" w:rsidRDefault="00000000" w:rsidRPr="00000000" w14:paraId="0000005B">
      <w:pPr>
        <w:pStyle w:val="Heading3"/>
        <w:rPr/>
      </w:pPr>
      <w:bookmarkStart w:colFirst="0" w:colLast="0" w:name="_xr33zum30bj9" w:id="8"/>
      <w:bookmarkEnd w:id="8"/>
      <w:r w:rsidDel="00000000" w:rsidR="00000000" w:rsidRPr="00000000">
        <w:rPr>
          <w:rtl w:val="0"/>
        </w:rPr>
        <w:t xml:space="preserve">2.1. Identificación de problemas y necesidades</w:t>
      </w:r>
    </w:p>
    <w:p w:rsidR="00000000" w:rsidDel="00000000" w:rsidP="00000000" w:rsidRDefault="00000000" w:rsidRPr="00000000" w14:paraId="0000005C">
      <w:pPr>
        <w:rPr/>
      </w:pPr>
      <w:r w:rsidDel="00000000" w:rsidR="00000000" w:rsidRPr="00000000">
        <w:rPr>
          <w:b w:val="1"/>
          <w:bCs w:val="1"/>
          <w:rtl w:val="0"/>
        </w:rPr>
        <w:t xml:space="preserve">Problema central:</w:t>
      </w:r>
      <w:r w:rsidDel="00000000" w:rsidR="00000000" w:rsidRPr="00000000">
        <w:rPr>
          <w:rtl w:val="0"/>
        </w:rPr>
        <w:t xml:space="preserve"> La falta de una infraestructura de información confiable, trazable y compartida entre ciudadanos, supermercados, cooperativas y municipio impide que el reciclaje ciudadano tenga un sistema de recompensas sostenible y verificable.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Problemas específicos detectados: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3"/>
        </w:numPr>
        <w:ind w:left="720" w:hanging="360"/>
      </w:pPr>
      <w:r w:rsidDel="00000000" w:rsidR="00000000" w:rsidRPr="00000000">
        <w:rPr>
          <w:b w:val="1"/>
          <w:bCs w:val="1"/>
          <w:rtl w:val="0"/>
        </w:rPr>
        <w:t xml:space="preserve">Ausencia de incentivo económico directo al ciudadano</w:t>
      </w:r>
      <w:r w:rsidDel="00000000" w:rsidR="00000000" w:rsidRPr="00000000">
        <w:rPr>
          <w:rtl w:val="0"/>
        </w:rPr>
        <w:t xml:space="preserve"> que recicla de forma correcta.</w:t>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Falta de trazabilidad</w:t>
      </w:r>
      <w:r w:rsidDel="00000000" w:rsidR="00000000" w:rsidRPr="00000000">
        <w:rPr>
          <w:rtl w:val="0"/>
        </w:rPr>
        <w:t xml:space="preserve"> sobre el recorrido del material reciclable desde el hogar hasta su valorización.</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Ausencia de un modelo económico cerrado</w:t>
      </w:r>
      <w:r w:rsidDel="00000000" w:rsidR="00000000" w:rsidRPr="00000000">
        <w:rPr>
          <w:rtl w:val="0"/>
        </w:rPr>
        <w:t xml:space="preserve"> para los supermercados: hoy el rol "eco-friendly" se sostiene en marketing, no en un flujo de ingresos real.</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Programas de fidelización tradicionales no interoperables</w:t>
      </w:r>
      <w:r w:rsidDel="00000000" w:rsidR="00000000" w:rsidRPr="00000000">
        <w:rPr>
          <w:rtl w:val="0"/>
        </w:rPr>
        <w:t xml:space="preserve">, manipulables unilateralmente por el emisor y sin relación con conducta ambiental.</w:t>
      </w:r>
    </w:p>
    <w:p w:rsidR="00000000" w:rsidDel="00000000" w:rsidP="00000000" w:rsidRDefault="00000000" w:rsidRPr="00000000" w14:paraId="00000064">
      <w:pPr>
        <w:numPr>
          <w:ilvl w:val="0"/>
          <w:numId w:val="3"/>
        </w:numPr>
        <w:ind w:left="720" w:hanging="360"/>
      </w:pPr>
      <w:r w:rsidDel="00000000" w:rsidR="00000000" w:rsidRPr="00000000">
        <w:rPr>
          <w:b w:val="1"/>
          <w:bCs w:val="1"/>
          <w:rtl w:val="0"/>
        </w:rPr>
        <w:t xml:space="preserve">Falta de métricas auditables</w:t>
      </w:r>
      <w:r w:rsidDel="00000000" w:rsidR="00000000" w:rsidRPr="00000000">
        <w:rPr>
          <w:rtl w:val="0"/>
        </w:rPr>
        <w:t xml:space="preserve"> para el municipio sobre desempeño ambiental del ecosistema comercial.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Necesidades de información a cubrir:</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Registro único, inmutable y auditable de cada aporte de material reciclable (quién, dónde, cuánto, qué material, cuándo).</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Saldo y movimientos de puntos (tokens) por ciudadano, consultables por el propio usuario y verificables por terceros.</w:t>
      </w:r>
    </w:p>
    <w:p w:rsidR="00000000" w:rsidDel="00000000" w:rsidP="00000000" w:rsidRDefault="00000000" w:rsidRPr="00000000" w14:paraId="0000006A">
      <w:pPr>
        <w:numPr>
          <w:ilvl w:val="0"/>
          <w:numId w:val="2"/>
        </w:numPr>
        <w:ind w:left="720" w:hanging="360"/>
      </w:pPr>
      <w:r w:rsidDel="00000000" w:rsidR="00000000" w:rsidRPr="00000000">
        <w:rPr>
          <w:rtl w:val="0"/>
        </w:rPr>
        <w:t xml:space="preserve">Estado de canje de beneficios en el punto de venta.</w:t>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Reportes consolidados de material recolectado y tokens emitidos / quemados para supermercados, cooperativas y autoridad municipal.</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Trazabilidad del flujo económico: material vendido por el supermercado a la cooperativa y recompensa financiada de vuelta al usuario.</w:t>
      </w:r>
    </w:p>
    <w:p w:rsidR="00000000" w:rsidDel="00000000" w:rsidP="00000000" w:rsidRDefault="00000000" w:rsidRPr="00000000" w14:paraId="0000006D">
      <w:pPr>
        <w:pStyle w:val="Heading3"/>
        <w:rPr/>
      </w:pPr>
      <w:bookmarkStart w:colFirst="0" w:colLast="0" w:name="_uy1uyd58fv4b" w:id="9"/>
      <w:bookmarkEnd w:id="9"/>
      <w:r w:rsidDel="00000000" w:rsidR="00000000" w:rsidRPr="00000000">
        <w:rPr>
          <w:rtl w:val="0"/>
        </w:rPr>
        <w:t xml:space="preserve">2.2. Antecedentes</w:t>
      </w:r>
    </w:p>
    <w:p w:rsidR="00000000" w:rsidDel="00000000" w:rsidP="00000000" w:rsidRDefault="00000000" w:rsidRPr="00000000" w14:paraId="0000006E">
      <w:pPr>
        <w:rPr/>
      </w:pPr>
      <w:r w:rsidDel="00000000" w:rsidR="00000000" w:rsidRPr="00000000">
        <w:rPr>
          <w:rtl w:val="0"/>
        </w:rPr>
        <w:t xml:space="preserve">Se relevaron iniciativas previas a nivel local e internacional que ofrecen aprendizajes sobre qué funciona y qué no en este tipo de ecosistemas.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2"/>
        </w:numPr>
        <w:ind w:left="720" w:hanging="360"/>
      </w:pPr>
      <w:r w:rsidDel="00000000" w:rsidR="00000000" w:rsidRPr="00000000">
        <w:rPr>
          <w:b w:val="1"/>
          <w:bCs w:val="1"/>
          <w:rtl w:val="0"/>
        </w:rPr>
        <w:t xml:space="preserve">Plasticoin (Uruguay) — antecedente más cercano y relevante:</w:t>
      </w:r>
      <w:r w:rsidDel="00000000" w:rsidR="00000000" w:rsidRPr="00000000">
        <w:rPr>
          <w:rtl w:val="0"/>
        </w:rPr>
        <w:t xml:space="preserve"> Sistema ya en operación con estructura (</w:t>
      </w:r>
      <w:r w:rsidDel="00000000" w:rsidR="00000000" w:rsidRPr="00000000">
        <w:rPr>
          <w:rFonts w:ascii="Arial Unicode MS" w:cs="Arial Unicode MS" w:eastAsia="Arial Unicode MS" w:hAnsi="Arial Unicode MS"/>
          <w:i w:val="1"/>
          <w:iCs w:val="1"/>
          <w:rtl w:val="0"/>
        </w:rPr>
        <w:t xml:space="preserve">vecino → responsable (recolector) → comercio adherido)</w:t>
      </w:r>
      <w:r w:rsidDel="00000000" w:rsidR="00000000" w:rsidRPr="00000000">
        <w:rPr>
          <w:rtl w:val="0"/>
        </w:rPr>
        <w:t xml:space="preserve">. El equipo concretó una llamada con su fundador (última semana de abril) para obtener información directa sobre el modelo operativo y comercial.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2">
      <w:pPr>
        <w:numPr>
          <w:ilvl w:val="0"/>
          <w:numId w:val="2"/>
        </w:numPr>
        <w:ind w:left="720" w:hanging="360"/>
      </w:pPr>
      <w:r w:rsidDel="00000000" w:rsidR="00000000" w:rsidRPr="00000000">
        <w:rPr>
          <w:b w:val="1"/>
          <w:bCs w:val="1"/>
          <w:rtl w:val="0"/>
        </w:rPr>
        <w:t xml:space="preserve"> Reaquila (Aplicación española de reciclaje con tarjeta prepaga):</w:t>
      </w:r>
      <w:r w:rsidDel="00000000" w:rsidR="00000000" w:rsidRPr="00000000">
        <w:rPr>
          <w:rtl w:val="0"/>
        </w:rPr>
        <w:t xml:space="preserve"> Modelo que entrega una tarjeta prepaga Mastercard cargada con el beneficio por reciclar. Requiere DNI y verificación de identidad reforzada, lo que resulta intrusivo para el usuario y complejo de replicar regulatoriamente en Argentina. Aprendizaje: evitar fricciones de onboarding propias de emisión de medios de pago regulados.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4">
      <w:pPr>
        <w:numPr>
          <w:ilvl w:val="0"/>
          <w:numId w:val="2"/>
        </w:numPr>
        <w:ind w:left="720" w:hanging="360"/>
      </w:pPr>
      <w:r w:rsidDel="00000000" w:rsidR="00000000" w:rsidRPr="00000000">
        <w:rPr>
          <w:b w:val="1"/>
          <w:bCs w:val="1"/>
          <w:rtl w:val="0"/>
        </w:rPr>
        <w:t xml:space="preserve">Programas de fidelización tradicionales de supermercados (puntos, tarjetas cliente).</w:t>
      </w:r>
      <w:r w:rsidDel="00000000" w:rsidR="00000000" w:rsidRPr="00000000">
        <w:rPr>
          <w:rtl w:val="0"/>
        </w:rPr>
        <w:t xml:space="preserve"> No son antecedentes directos, pero definen el estándar actual contra el cual se compara la propuesta. Son centralizados, cerrados y no verificables por el usuario.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numPr>
          <w:ilvl w:val="0"/>
          <w:numId w:val="2"/>
        </w:numPr>
        <w:ind w:left="720" w:hanging="360"/>
      </w:pPr>
      <w:r w:rsidDel="00000000" w:rsidR="00000000" w:rsidRPr="00000000">
        <w:rPr>
          <w:b w:val="1"/>
          <w:bCs w:val="1"/>
          <w:rtl w:val="0"/>
        </w:rPr>
        <w:t xml:space="preserve">Iniciativas de "Ecoladrillos" con ONG.</w:t>
      </w:r>
      <w:r w:rsidDel="00000000" w:rsidR="00000000" w:rsidRPr="00000000">
        <w:rPr>
          <w:rtl w:val="0"/>
        </w:rPr>
        <w:t xml:space="preserve"> Modelo alternativo de impacto no monetario (el material se destina a construcción social). Relevado como opción complementaria o de contingencia en caso de que el bucle económico con cooperativa no resulte viable en el piloto.</w:t>
      </w:r>
    </w:p>
    <w:p w:rsidR="00000000" w:rsidDel="00000000" w:rsidP="00000000" w:rsidRDefault="00000000" w:rsidRPr="00000000" w14:paraId="00000077">
      <w:pPr>
        <w:pStyle w:val="Heading3"/>
        <w:rPr/>
      </w:pPr>
      <w:bookmarkStart w:colFirst="0" w:colLast="0" w:name="_qfao2aw1v9mv" w:id="10"/>
      <w:bookmarkEnd w:id="10"/>
      <w:r w:rsidDel="00000000" w:rsidR="00000000" w:rsidRPr="00000000">
        <w:rPr>
          <w:rtl w:val="0"/>
        </w:rPr>
        <w:t xml:space="preserve">2.3. Evolución del modelo (contexto de la V1.0)</w:t>
      </w:r>
    </w:p>
    <w:p w:rsidR="00000000" w:rsidDel="00000000" w:rsidP="00000000" w:rsidRDefault="00000000" w:rsidRPr="00000000" w14:paraId="00000078">
      <w:pPr>
        <w:rPr/>
      </w:pPr>
      <w:r w:rsidDel="00000000" w:rsidR="00000000" w:rsidRPr="00000000">
        <w:rPr>
          <w:rtl w:val="0"/>
        </w:rPr>
        <w:t xml:space="preserve">Durante la etapa de exposición de ideas y en la reunión de definición estratégica se produjo un giro relevante respecto al planteo inicial: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Planteo inicial:</w:t>
      </w:r>
      <w:r w:rsidDel="00000000" w:rsidR="00000000" w:rsidRPr="00000000">
        <w:rPr>
          <w:rtl w:val="0"/>
        </w:rPr>
        <w:t xml:space="preserve"> descuentos directos en supermercados mediante integración con sus sistemas de punto de venta (POS). </w:t>
      </w:r>
      <w:r w:rsidDel="00000000" w:rsidR="00000000" w:rsidRPr="00000000">
        <w:rPr>
          <w:b w:val="1"/>
          <w:bCs w:val="1"/>
          <w:rtl w:val="0"/>
        </w:rPr>
        <w:t xml:space="preserve">Problema:</w:t>
      </w:r>
      <w:r w:rsidDel="00000000" w:rsidR="00000000" w:rsidRPr="00000000">
        <w:rPr>
          <w:rtl w:val="0"/>
        </w:rPr>
        <w:t xml:space="preserve"> los supermercados carecen de incentivo real para integrar un sistema externo a su POS y la fricción técnica es alta.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Planteo actual (V1.0):</w:t>
      </w:r>
      <w:r w:rsidDel="00000000" w:rsidR="00000000" w:rsidRPr="00000000">
        <w:rPr>
          <w:rtl w:val="0"/>
        </w:rPr>
        <w:t xml:space="preserve"> modelo B2B orientado a cooperativas / ONG de reciclaje, donde el supermercado actúa como punto de acopio y el bucle económico se cierra así: </w:t>
      </w:r>
      <w:r w:rsidDel="00000000" w:rsidR="00000000" w:rsidRPr="00000000">
        <w:rPr>
          <w:rFonts w:ascii="Arial Unicode MS" w:cs="Arial Unicode MS" w:eastAsia="Arial Unicode MS" w:hAnsi="Arial Unicode MS"/>
          <w:i w:val="1"/>
          <w:iCs w:val="1"/>
          <w:rtl w:val="0"/>
        </w:rPr>
        <w:t xml:space="preserve">Usuario recicla en el supermercado → el supermercado vende el material a la cooperativa → la cooperativa paga al supermercado → el supermercado financia las recompensas al usuario.</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Este giro es el que se formaliza en esta versión del documento.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bookmarkStart w:colFirst="0" w:colLast="0" w:name="_qosv9fucnhh" w:id="11"/>
      <w:bookmarkEnd w:id="11"/>
      <w:r w:rsidDel="00000000" w:rsidR="00000000" w:rsidRPr="00000000">
        <w:rPr>
          <w:rtl w:val="0"/>
        </w:rPr>
        <w:t xml:space="preserve">3. Análisis estratégico y de viabilidad</w:t>
      </w:r>
    </w:p>
    <w:p w:rsidR="00000000" w:rsidDel="00000000" w:rsidP="00000000" w:rsidRDefault="00000000" w:rsidRPr="00000000" w14:paraId="00000082">
      <w:pPr>
        <w:pStyle w:val="Heading3"/>
        <w:rPr/>
      </w:pPr>
      <w:bookmarkStart w:colFirst="0" w:colLast="0" w:name="_d2o8ndrt44pi" w:id="12"/>
      <w:bookmarkEnd w:id="12"/>
      <w:r w:rsidDel="00000000" w:rsidR="00000000" w:rsidRPr="00000000">
        <w:rPr>
          <w:rtl w:val="0"/>
        </w:rPr>
        <w:t xml:space="preserve">3.1. Análisis FODA</w:t>
      </w:r>
    </w:p>
    <w:p w:rsidR="00000000" w:rsidDel="00000000" w:rsidP="00000000" w:rsidRDefault="00000000" w:rsidRPr="00000000" w14:paraId="00000083">
      <w:pPr>
        <w:pStyle w:val="Heading4"/>
        <w:rPr>
          <w:b w:val="1"/>
          <w:bCs w:val="1"/>
        </w:rPr>
      </w:pPr>
      <w:bookmarkStart w:colFirst="0" w:colLast="0" w:name="_5gv9datxctiv" w:id="13"/>
      <w:bookmarkEnd w:id="13"/>
      <w:r w:rsidDel="00000000" w:rsidR="00000000" w:rsidRPr="00000000">
        <w:rPr>
          <w:b w:val="1"/>
          <w:bCs w:val="1"/>
          <w:rtl w:val="0"/>
        </w:rPr>
        <w:t xml:space="preserve">Fortalezas (internas, positivas)</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Uso de blockchain pública de prueba (Sepolia) que elimina costos operativos reales sin perder las propiedades de trazabilidad e inmutabilidad necesarias académicamente.</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Modelo de token personalizado ERC-20, sin valor monetario de mercado, lo que reduce complejidad regulatoria (no se emite un activo financiero).</w:t>
      </w:r>
    </w:p>
    <w:p w:rsidR="00000000" w:rsidDel="00000000" w:rsidP="00000000" w:rsidRDefault="00000000" w:rsidRPr="00000000" w14:paraId="00000086">
      <w:pPr>
        <w:numPr>
          <w:ilvl w:val="0"/>
          <w:numId w:val="2"/>
        </w:numPr>
        <w:ind w:left="720" w:hanging="360"/>
      </w:pPr>
      <w:r w:rsidDel="00000000" w:rsidR="00000000" w:rsidRPr="00000000">
        <w:rPr>
          <w:rFonts w:ascii="Arial Unicode MS" w:cs="Arial Unicode MS" w:eastAsia="Arial Unicode MS" w:hAnsi="Arial Unicode MS"/>
          <w:rtl w:val="0"/>
        </w:rPr>
        <w:t xml:space="preserve">Billetera custodial simplificada + provisión de gas fees por parte del sistema → bajísima barrera de entrada para el usuario final no técnico.</w:t>
      </w:r>
    </w:p>
    <w:p w:rsidR="00000000" w:rsidDel="00000000" w:rsidP="00000000" w:rsidRDefault="00000000" w:rsidRPr="00000000" w14:paraId="00000087">
      <w:pPr>
        <w:numPr>
          <w:ilvl w:val="0"/>
          <w:numId w:val="2"/>
        </w:numPr>
        <w:ind w:left="720" w:hanging="360"/>
      </w:pPr>
      <w:r w:rsidDel="00000000" w:rsidR="00000000" w:rsidRPr="00000000">
        <w:rPr>
          <w:rtl w:val="0"/>
        </w:rPr>
        <w:t xml:space="preserve">Contacto directo con referentes del sector (fundador de Plasticoin, cooperativa "7 de Febrero") para validación temprana.</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Alcance geográfico acotado (Villa María) que permite un piloto manejable.</w:t>
      </w:r>
    </w:p>
    <w:p w:rsidR="00000000" w:rsidDel="00000000" w:rsidP="00000000" w:rsidRDefault="00000000" w:rsidRPr="00000000" w14:paraId="00000089">
      <w:pPr>
        <w:pStyle w:val="Heading4"/>
        <w:rPr>
          <w:b w:val="1"/>
          <w:bCs w:val="1"/>
        </w:rPr>
      </w:pPr>
      <w:bookmarkStart w:colFirst="0" w:colLast="0" w:name="_t4bwvfmx8tor" w:id="14"/>
      <w:bookmarkEnd w:id="14"/>
      <w:r w:rsidDel="00000000" w:rsidR="00000000" w:rsidRPr="00000000">
        <w:rPr>
          <w:b w:val="1"/>
          <w:bCs w:val="1"/>
          <w:rtl w:val="0"/>
        </w:rPr>
        <w:t xml:space="preserve">Oportunidades (externas, positivas)</w:t>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Agenda ambiental creciente en municipios argentinos y presión por demostrar métricas de sostenibilidad auditables.</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Demanda latente de programas de fidelización diferenciados en el retail local.</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Vacío competitivo: los antecedentes internacionales directos no operan en Argentina (Plasticoin en Uruguay, otros en Europa).</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Cooperativas de reciclaje con necesidad real de mejorar su trazabilidad operativa.</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Posibilidad de posicionar a Villa María como caso testigo replicable a otras ciudades del interior.</w:t>
      </w:r>
    </w:p>
    <w:p w:rsidR="00000000" w:rsidDel="00000000" w:rsidP="00000000" w:rsidRDefault="00000000" w:rsidRPr="00000000" w14:paraId="0000008F">
      <w:pPr>
        <w:pStyle w:val="Heading4"/>
        <w:rPr/>
      </w:pPr>
      <w:bookmarkStart w:colFirst="0" w:colLast="0" w:name="_uqgrgddz9rfd" w:id="15"/>
      <w:bookmarkEnd w:id="15"/>
      <w:r w:rsidDel="00000000" w:rsidR="00000000" w:rsidRPr="00000000">
        <w:rPr>
          <w:b w:val="1"/>
          <w:bCs w:val="1"/>
          <w:rtl w:val="0"/>
        </w:rPr>
        <w:t xml:space="preserve">Debilidades (internas, negativas)</w:t>
      </w:r>
      <w:r w:rsidDel="00000000" w:rsidR="00000000" w:rsidRPr="00000000">
        <w:rPr>
          <w:rtl w:val="0"/>
        </w:rPr>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Ausencia de presupuesto propio para hardware específico (balanzas digitales integradas) en la etapa de piloto.</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Dependencia de actores externos (supermercado, cooperativa, municipio) cuya incorporación escapa al control del equipo.</w:t>
      </w:r>
    </w:p>
    <w:p w:rsidR="00000000" w:rsidDel="00000000" w:rsidP="00000000" w:rsidRDefault="00000000" w:rsidRPr="00000000" w14:paraId="00000092">
      <w:pPr>
        <w:pStyle w:val="Heading4"/>
        <w:rPr>
          <w:b w:val="1"/>
          <w:bCs w:val="1"/>
        </w:rPr>
      </w:pPr>
      <w:bookmarkStart w:colFirst="0" w:colLast="0" w:name="_xdylfwjxqpkv" w:id="16"/>
      <w:bookmarkEnd w:id="16"/>
      <w:r w:rsidDel="00000000" w:rsidR="00000000" w:rsidRPr="00000000">
        <w:rPr>
          <w:b w:val="1"/>
          <w:bCs w:val="1"/>
          <w:rtl w:val="0"/>
        </w:rPr>
        <w:t xml:space="preserve">Amenazas (externas, negativas)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Cambios regulatorios sobre activos digitales en Argentina que puedan afectar incluso a tokens sin valor monetario.</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Falta de adhesión de supermercados si el bucle económico (venta de material a cooperativa) no resulta suficientemente rentable para ellos.</w:t>
      </w:r>
    </w:p>
    <w:p w:rsidR="00000000" w:rsidDel="00000000" w:rsidP="00000000" w:rsidRDefault="00000000" w:rsidRPr="00000000" w14:paraId="00000095">
      <w:pPr>
        <w:pStyle w:val="Heading3"/>
        <w:rPr/>
      </w:pPr>
      <w:bookmarkStart w:colFirst="0" w:colLast="0" w:name="_hdc34w9q9dfi" w:id="17"/>
      <w:bookmarkEnd w:id="17"/>
      <w:r w:rsidDel="00000000" w:rsidR="00000000" w:rsidRPr="00000000">
        <w:rPr>
          <w:rtl w:val="0"/>
        </w:rPr>
        <w:t xml:space="preserve">3.2. Estudio de factibilidad</w:t>
      </w:r>
    </w:p>
    <w:p w:rsidR="00000000" w:rsidDel="00000000" w:rsidP="00000000" w:rsidRDefault="00000000" w:rsidRPr="00000000" w14:paraId="00000096">
      <w:pPr>
        <w:pStyle w:val="Heading4"/>
        <w:rPr/>
      </w:pPr>
      <w:bookmarkStart w:colFirst="0" w:colLast="0" w:name="_cgg5tos0o9q1" w:id="18"/>
      <w:bookmarkEnd w:id="18"/>
      <w:r w:rsidDel="00000000" w:rsidR="00000000" w:rsidRPr="00000000">
        <w:rPr>
          <w:rtl w:val="0"/>
        </w:rPr>
        <w:t xml:space="preserve">3.2.1. Factibilidad técnica — </w:t>
      </w:r>
      <w:r w:rsidDel="00000000" w:rsidR="00000000" w:rsidRPr="00000000">
        <w:rPr>
          <w:b w:val="1"/>
          <w:bCs w:val="1"/>
          <w:rtl w:val="0"/>
        </w:rPr>
        <w:t xml:space="preserve">Viable</w:t>
      </w:r>
      <w:r w:rsidDel="00000000" w:rsidR="00000000" w:rsidRPr="00000000">
        <w:rPr>
          <w:rtl w:val="0"/>
        </w:rPr>
      </w:r>
    </w:p>
    <w:p w:rsidR="00000000" w:rsidDel="00000000" w:rsidP="00000000" w:rsidRDefault="00000000" w:rsidRPr="00000000" w14:paraId="00000097">
      <w:pPr>
        <w:numPr>
          <w:ilvl w:val="0"/>
          <w:numId w:val="2"/>
        </w:numPr>
        <w:ind w:left="720" w:hanging="360"/>
      </w:pPr>
      <w:r w:rsidDel="00000000" w:rsidR="00000000" w:rsidRPr="00000000">
        <w:rPr>
          <w:rtl w:val="0"/>
        </w:rPr>
        <w:t xml:space="preserve">El stack propuesto (Solidity, Foundry, OpenZeppelin, NestJS, React, PostgreSQL, ethers/viem) es maduro, con documentación abundante.</w:t>
      </w:r>
    </w:p>
    <w:p w:rsidR="00000000" w:rsidDel="00000000" w:rsidP="00000000" w:rsidRDefault="00000000" w:rsidRPr="00000000" w14:paraId="00000098">
      <w:pPr>
        <w:numPr>
          <w:ilvl w:val="0"/>
          <w:numId w:val="2"/>
        </w:numPr>
        <w:ind w:left="720" w:hanging="360"/>
      </w:pPr>
      <w:r w:rsidDel="00000000" w:rsidR="00000000" w:rsidRPr="00000000">
        <w:rPr>
          <w:rtl w:val="0"/>
        </w:rPr>
        <w:t xml:space="preserve">El contrato ERC-20 con roles (MINTER, BURNER, ADMIN), supply cap y pausa de emergencia es un patrón estándar cubierto por librerías auditadas (OpenZeppelin AccessControl, ERC20Capped, Pausable).</w:t>
      </w:r>
    </w:p>
    <w:p w:rsidR="00000000" w:rsidDel="00000000" w:rsidP="00000000" w:rsidRDefault="00000000" w:rsidRPr="00000000" w14:paraId="00000099">
      <w:pPr>
        <w:numPr>
          <w:ilvl w:val="0"/>
          <w:numId w:val="2"/>
        </w:numPr>
        <w:ind w:left="720" w:hanging="360"/>
      </w:pPr>
      <w:r w:rsidDel="00000000" w:rsidR="00000000" w:rsidRPr="00000000">
        <w:rPr>
          <w:rtl w:val="0"/>
        </w:rPr>
        <w:t xml:space="preserve">La red Sepolia ofrece entorno de prueba estable y gratuito; los nodos RPC (Alchemy u otros) cubren las necesidades de throughput del piloto.</w:t>
      </w:r>
    </w:p>
    <w:p w:rsidR="00000000" w:rsidDel="00000000" w:rsidP="00000000" w:rsidRDefault="00000000" w:rsidRPr="00000000" w14:paraId="0000009A">
      <w:pPr>
        <w:numPr>
          <w:ilvl w:val="0"/>
          <w:numId w:val="2"/>
        </w:numPr>
        <w:ind w:left="720" w:hanging="360"/>
      </w:pPr>
      <w:r w:rsidDel="00000000" w:rsidR="00000000" w:rsidRPr="00000000">
        <w:rPr>
          <w:b w:val="1"/>
          <w:bCs w:val="1"/>
          <w:rtl w:val="0"/>
        </w:rPr>
        <w:t xml:space="preserve">Riesgo técnico principal:</w:t>
      </w:r>
      <w:r w:rsidDel="00000000" w:rsidR="00000000" w:rsidRPr="00000000">
        <w:rPr>
          <w:rtl w:val="0"/>
        </w:rPr>
        <w:t xml:space="preserve"> correcta gestión de claves privadas del operador que acuña tokens y experiencia de usuario en billetera custodial. Se mitiga con diseño de roles, rotación de claves y separación de ambientes.</w:t>
      </w:r>
    </w:p>
    <w:p w:rsidR="00000000" w:rsidDel="00000000" w:rsidP="00000000" w:rsidRDefault="00000000" w:rsidRPr="00000000" w14:paraId="0000009B">
      <w:pPr>
        <w:pStyle w:val="Heading4"/>
        <w:rPr/>
      </w:pPr>
      <w:bookmarkStart w:colFirst="0" w:colLast="0" w:name="_ej32z5vqz5mk" w:id="19"/>
      <w:bookmarkEnd w:id="19"/>
      <w:r w:rsidDel="00000000" w:rsidR="00000000" w:rsidRPr="00000000">
        <w:rPr>
          <w:rtl w:val="0"/>
        </w:rPr>
        <w:t xml:space="preserve">3.2.2. Factibilidad operativa — </w:t>
      </w:r>
      <w:r w:rsidDel="00000000" w:rsidR="00000000" w:rsidRPr="00000000">
        <w:rPr>
          <w:b w:val="1"/>
          <w:bCs w:val="1"/>
          <w:rtl w:val="0"/>
        </w:rPr>
        <w:t xml:space="preserve">Viable con condiciones</w:t>
      </w:r>
      <w:r w:rsidDel="00000000" w:rsidR="00000000" w:rsidRPr="00000000">
        <w:rPr>
          <w:rtl w:val="0"/>
        </w:rPr>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Requiere al menos un supermercado adherido y una cooperativa aliada para cerrar el bucle. Sin ambos, el piloto no representa el modelo real.</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La operación en el punto de acopio supone un operador humano autorizado, al menos en la fase MVP (pesa el material, carga el dato, el sistema acuña los tokens).</w:t>
      </w:r>
    </w:p>
    <w:p w:rsidR="00000000" w:rsidDel="00000000" w:rsidP="00000000" w:rsidRDefault="00000000" w:rsidRPr="00000000" w14:paraId="0000009E">
      <w:pPr>
        <w:numPr>
          <w:ilvl w:val="0"/>
          <w:numId w:val="2"/>
        </w:numPr>
        <w:ind w:left="720" w:hanging="360"/>
      </w:pPr>
      <w:r w:rsidDel="00000000" w:rsidR="00000000" w:rsidRPr="00000000">
        <w:rPr>
          <w:rFonts w:ascii="Arial Unicode MS" w:cs="Arial Unicode MS" w:eastAsia="Arial Unicode MS" w:hAnsi="Arial Unicode MS"/>
          <w:rtl w:val="0"/>
        </w:rPr>
        <w:t xml:space="preserve">El canje en caja implica que el sistema del supermercado escanee el QR generado por la app y valide la transacción on-chain. En MVP puede resolverse con un terminal simple o incluso con un celular del cajero, sin tocar el POS principal del comercio → esto elimina la fricción que hundía el planteo inicial..</w:t>
      </w:r>
    </w:p>
    <w:p w:rsidR="00000000" w:rsidDel="00000000" w:rsidP="00000000" w:rsidRDefault="00000000" w:rsidRPr="00000000" w14:paraId="0000009F">
      <w:pPr>
        <w:pStyle w:val="Heading4"/>
        <w:rPr/>
      </w:pPr>
      <w:bookmarkStart w:colFirst="0" w:colLast="0" w:name="_ervzxv16j3x8" w:id="20"/>
      <w:bookmarkEnd w:id="20"/>
      <w:r w:rsidDel="00000000" w:rsidR="00000000" w:rsidRPr="00000000">
        <w:rPr>
          <w:rtl w:val="0"/>
        </w:rPr>
        <w:t xml:space="preserve">3.2.3. Factibilidad económica — </w:t>
      </w:r>
      <w:r w:rsidDel="00000000" w:rsidR="00000000" w:rsidRPr="00000000">
        <w:rPr>
          <w:b w:val="1"/>
          <w:bCs w:val="1"/>
          <w:rtl w:val="0"/>
        </w:rPr>
        <w:t xml:space="preserve">Viable en marco académico, a validar para producción</w:t>
      </w: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Costos de desarrollo:</w:t>
      </w:r>
      <w:r w:rsidDel="00000000" w:rsidR="00000000" w:rsidRPr="00000000">
        <w:rPr>
          <w:rtl w:val="0"/>
        </w:rPr>
        <w:t xml:space="preserve"> absorbidos por el equipo como parte del proyecto final (no hay costo laboral directo).</w:t>
      </w:r>
    </w:p>
    <w:p w:rsidR="00000000" w:rsidDel="00000000" w:rsidP="00000000" w:rsidRDefault="00000000" w:rsidRPr="00000000" w14:paraId="000000A1">
      <w:pPr>
        <w:numPr>
          <w:ilvl w:val="0"/>
          <w:numId w:val="2"/>
        </w:numPr>
        <w:ind w:left="720" w:hanging="360"/>
      </w:pPr>
      <w:r w:rsidDel="00000000" w:rsidR="00000000" w:rsidRPr="00000000">
        <w:rPr>
          <w:b w:val="1"/>
          <w:bCs w:val="1"/>
          <w:rtl w:val="0"/>
        </w:rPr>
        <w:t xml:space="preserve">Costos de infraestructura piloto:</w:t>
      </w:r>
      <w:r w:rsidDel="00000000" w:rsidR="00000000" w:rsidRPr="00000000">
        <w:rPr>
          <w:rtl w:val="0"/>
        </w:rPr>
        <w:t xml:space="preserve"> bajos. Sepolia es gratis; Vercel y Render tienen capas gratuitas suficientes para un piloto; PostgreSQL puede correr en un VPS de bajo costo o en servicio gestionado con free tier.</w:t>
      </w:r>
    </w:p>
    <w:p w:rsidR="00000000" w:rsidDel="00000000" w:rsidP="00000000" w:rsidRDefault="00000000" w:rsidRPr="00000000" w14:paraId="000000A2">
      <w:pPr>
        <w:numPr>
          <w:ilvl w:val="0"/>
          <w:numId w:val="2"/>
        </w:numPr>
        <w:ind w:left="720" w:hanging="360"/>
      </w:pPr>
      <w:r w:rsidDel="00000000" w:rsidR="00000000" w:rsidRPr="00000000">
        <w:rPr>
          <w:b w:val="1"/>
          <w:bCs w:val="1"/>
          <w:rtl w:val="0"/>
        </w:rPr>
        <w:t xml:space="preserve">Costos de gas:</w:t>
      </w:r>
      <w:r w:rsidDel="00000000" w:rsidR="00000000" w:rsidRPr="00000000">
        <w:rPr>
          <w:rtl w:val="0"/>
        </w:rPr>
        <w:t xml:space="preserve"> inexistentes en términos monetarios reales al operar sobre testnet Sepolia. La provisión de ETH de Sepolia a los usuarios se hace desde faucets o desde una cuenta operadora del proyecto.</w:t>
      </w:r>
    </w:p>
    <w:p w:rsidR="00000000" w:rsidDel="00000000" w:rsidP="00000000" w:rsidRDefault="00000000" w:rsidRPr="00000000" w14:paraId="000000A3">
      <w:pPr>
        <w:numPr>
          <w:ilvl w:val="0"/>
          <w:numId w:val="2"/>
        </w:numPr>
        <w:ind w:left="720" w:hanging="360"/>
      </w:pPr>
      <w:r w:rsidDel="00000000" w:rsidR="00000000" w:rsidRPr="00000000">
        <w:rPr>
          <w:b w:val="1"/>
          <w:bCs w:val="1"/>
          <w:rtl w:val="0"/>
        </w:rPr>
        <w:t xml:space="preserve">Sostenibilidad económica del ecosistema (post-piloto):</w:t>
      </w:r>
      <w:r w:rsidDel="00000000" w:rsidR="00000000" w:rsidRPr="00000000">
        <w:rPr>
          <w:rtl w:val="0"/>
        </w:rPr>
        <w:t xml:space="preserve"> la propuesta depende del bucle </w:t>
      </w:r>
      <w:r w:rsidDel="00000000" w:rsidR="00000000" w:rsidRPr="00000000">
        <w:rPr>
          <w:rFonts w:ascii="Arial Unicode MS" w:cs="Arial Unicode MS" w:eastAsia="Arial Unicode MS" w:hAnsi="Arial Unicode MS"/>
          <w:i w:val="1"/>
          <w:iCs w:val="1"/>
          <w:rtl w:val="0"/>
        </w:rPr>
        <w:t xml:space="preserve">supermercado vende material a cooperativa → cooperativa paga al supermercado → supermercado financia recompensas al usuario</w:t>
      </w:r>
      <w:r w:rsidDel="00000000" w:rsidR="00000000" w:rsidRPr="00000000">
        <w:rPr>
          <w:rtl w:val="0"/>
        </w:rPr>
        <w:t xml:space="preserve">. Esta es la variable económica crítica y debe cuantificarse con datos reales en próximas versiones del documento (precio de kg de plástico/vidrio/cartón pagado por la cooperativa vs. costo de la recompensa ofrecida al usuario).</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Conclusión de factibilidad:</w:t>
      </w:r>
      <w:r w:rsidDel="00000000" w:rsidR="00000000" w:rsidRPr="00000000">
        <w:rPr>
          <w:rtl w:val="0"/>
        </w:rPr>
        <w:t xml:space="preserve"> el proyecto es </w:t>
      </w:r>
      <w:r w:rsidDel="00000000" w:rsidR="00000000" w:rsidRPr="00000000">
        <w:rPr>
          <w:b w:val="1"/>
          <w:bCs w:val="1"/>
          <w:rtl w:val="0"/>
        </w:rPr>
        <w:t xml:space="preserve">viable para su ejecución como piloto académico en la versión V1.0</w:t>
      </w:r>
      <w:r w:rsidDel="00000000" w:rsidR="00000000" w:rsidRPr="00000000">
        <w:rPr>
          <w:rFonts w:ascii="Arial Unicode MS" w:cs="Arial Unicode MS" w:eastAsia="Arial Unicode MS" w:hAnsi="Arial Unicode MS"/>
          <w:rtl w:val="0"/>
        </w:rPr>
        <w:t xml:space="preserve">. La factibilidad económica de largo plazo del ecosistema queda sujeta a la validación cuantitativa del bucle económico supermercado ↔ cooperativa, que se abordará en próximas versiones del documento.</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bookmarkStart w:colFirst="0" w:colLast="0" w:name="_tu7upwngdqzp" w:id="21"/>
      <w:bookmarkEnd w:id="21"/>
      <w:r w:rsidDel="00000000" w:rsidR="00000000" w:rsidRPr="00000000">
        <w:rPr>
          <w:rtl w:val="0"/>
        </w:rPr>
        <w:t xml:space="preserve">4. Definiciones</w:t>
      </w:r>
    </w:p>
    <w:p w:rsidR="00000000" w:rsidDel="00000000" w:rsidP="00000000" w:rsidRDefault="00000000" w:rsidRPr="00000000" w14:paraId="000000AA">
      <w:pPr>
        <w:pStyle w:val="Heading3"/>
        <w:rPr/>
      </w:pPr>
      <w:bookmarkStart w:colFirst="0" w:colLast="0" w:name="_cymcmsd81rxt" w:id="22"/>
      <w:bookmarkEnd w:id="22"/>
      <w:r w:rsidDel="00000000" w:rsidR="00000000" w:rsidRPr="00000000">
        <w:rPr>
          <w:rtl w:val="0"/>
        </w:rPr>
        <w:t xml:space="preserve">4.1. Reglas de negocio</w:t>
      </w:r>
    </w:p>
    <w:p w:rsidR="00000000" w:rsidDel="00000000" w:rsidP="00000000" w:rsidRDefault="00000000" w:rsidRPr="00000000" w14:paraId="000000AB">
      <w:pPr>
        <w:rPr/>
      </w:pPr>
      <w:r w:rsidDel="00000000" w:rsidR="00000000" w:rsidRPr="00000000">
        <w:rPr>
          <w:rtl w:val="0"/>
        </w:rPr>
        <w:t xml:space="preserve">Se listan las reglas principales identificadas a la fecha. Se irán refinando y ampliando en las próximas versiones del documento.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Sobre el usuario y el registro</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RN-01. Para participar en el ecosistema, el ciudadano debe registrarse con nombre y apellido, DNI y correo electrónico.</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RN-02. Cada usuario tiene asociada exactamente una dirección EVM custodial generada automáticamente por el sistema en el momento del registro. La clave privada correspondiente es cifrada y administrada por el sistema de forma segura. El usuario nunca ve ni gestiona su clave privada directamente.</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RN-03. El usuario debe aceptar explícitamente los términos y condiciones antes de poder acumular o canjear tokens.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Sobre la emisión de tokens (mint)</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RN-04.Solo direcciones con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pueden acuñar tokens ECO. Cada supermercado adherido recibe una cuenta MINTER propia e independiente. La asignación y revocación de este rol es exclusiva de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RN-05. La cantidad de tokens a acuñar se calcula a partir del peso del material entregado, según una </w:t>
      </w:r>
      <w:r w:rsidDel="00000000" w:rsidR="00000000" w:rsidRPr="00000000">
        <w:rPr>
          <w:rFonts w:ascii="Arial Unicode MS" w:cs="Arial Unicode MS" w:eastAsia="Arial Unicode MS" w:hAnsi="Arial Unicode MS"/>
          <w:b w:val="1"/>
          <w:bCs w:val="1"/>
          <w:rtl w:val="0"/>
        </w:rPr>
        <w:t xml:space="preserve">tabla de conversión peso → tokens</w:t>
      </w:r>
      <w:r w:rsidDel="00000000" w:rsidR="00000000" w:rsidRPr="00000000">
        <w:rPr>
          <w:rtl w:val="0"/>
        </w:rPr>
        <w:t xml:space="preserve"> configurable por tipo de material (plástico, vidrio, cartón).</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RN-06. La tabla de conversión solo puede ser modificada por direcciones con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RN-07. Toda operación de mint emite un evento on-chain con datos mínimos: usuario destino, cantidad, tipo de material y peso.</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RN-08. Cada entrega de material genera un comprobante digital al usuario con: fecha, tipo de material, peso y tokens otorgados.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Sobre el canje (burn / redeem)</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2"/>
        </w:numPr>
        <w:ind w:left="720" w:hanging="360"/>
      </w:pPr>
      <w:r w:rsidDel="00000000" w:rsidR="00000000" w:rsidRPr="00000000">
        <w:rPr>
          <w:rtl w:val="0"/>
        </w:rPr>
        <w:t xml:space="preserve">RN-9. El canje se realiza en el punto de venta del supermercado mediante un </w:t>
      </w:r>
      <w:r w:rsidDel="00000000" w:rsidR="00000000" w:rsidRPr="00000000">
        <w:rPr>
          <w:b w:val="1"/>
          <w:bCs w:val="1"/>
          <w:rtl w:val="0"/>
        </w:rPr>
        <w:t xml:space="preserve">código QR de uso único, con firma criptográfica y vigencia limitada en el tiempo</w:t>
      </w:r>
      <w:r w:rsidDel="00000000" w:rsidR="00000000" w:rsidRPr="00000000">
        <w:rPr>
          <w:rtl w:val="0"/>
        </w:rPr>
        <w:t xml:space="preserve"> generado desde la app del usuario.</w:t>
      </w:r>
    </w:p>
    <w:p w:rsidR="00000000" w:rsidDel="00000000" w:rsidP="00000000" w:rsidRDefault="00000000" w:rsidRPr="00000000" w14:paraId="000000BE">
      <w:pPr>
        <w:numPr>
          <w:ilvl w:val="0"/>
          <w:numId w:val="2"/>
        </w:numPr>
        <w:ind w:left="720" w:hanging="360"/>
      </w:pPr>
      <w:r w:rsidDel="00000000" w:rsidR="00000000" w:rsidRPr="00000000">
        <w:rPr>
          <w:rtl w:val="0"/>
        </w:rPr>
        <w:t xml:space="preserve">RN-10. Solo direcciones con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pueden ejecutar la operación de quema de tokens. Esta cuenta es operada por el backend del proyecto. Antes de ejecutar el burn, el contrato verifica que la transacción esté autorizada por una firma criptográfica válida del usuario titular de los tokens..</w:t>
      </w:r>
    </w:p>
    <w:p w:rsidR="00000000" w:rsidDel="00000000" w:rsidP="00000000" w:rsidRDefault="00000000" w:rsidRPr="00000000" w14:paraId="000000BF">
      <w:pPr>
        <w:numPr>
          <w:ilvl w:val="0"/>
          <w:numId w:val="2"/>
        </w:numPr>
        <w:ind w:left="720" w:hanging="360"/>
      </w:pPr>
      <w:r w:rsidDel="00000000" w:rsidR="00000000" w:rsidRPr="00000000">
        <w:rPr>
          <w:rtl w:val="0"/>
        </w:rPr>
        <w:t xml:space="preserve">RN-11. Un mismo QR no puede reutilizarse: una vez escaneado y procesado, queda inválido aunque esté dentro de su ventana temporal.</w:t>
      </w:r>
    </w:p>
    <w:p w:rsidR="00000000" w:rsidDel="00000000" w:rsidP="00000000" w:rsidRDefault="00000000" w:rsidRPr="00000000" w14:paraId="000000C0">
      <w:pPr>
        <w:numPr>
          <w:ilvl w:val="0"/>
          <w:numId w:val="2"/>
        </w:numPr>
        <w:ind w:left="720" w:hanging="360"/>
      </w:pPr>
      <w:r w:rsidDel="00000000" w:rsidR="00000000" w:rsidRPr="00000000">
        <w:rPr>
          <w:rtl w:val="0"/>
        </w:rPr>
        <w:t xml:space="preserve">RN-12. El descuento se aplica sobre el total de la compra según el catálogo de descuentos configurado por el supermercado.</w:t>
      </w:r>
    </w:p>
    <w:p w:rsidR="00000000" w:rsidDel="00000000" w:rsidP="00000000" w:rsidRDefault="00000000" w:rsidRPr="00000000" w14:paraId="000000C1">
      <w:pPr>
        <w:numPr>
          <w:ilvl w:val="0"/>
          <w:numId w:val="2"/>
        </w:numPr>
        <w:ind w:left="720" w:hanging="360"/>
      </w:pPr>
      <w:r w:rsidDel="00000000" w:rsidR="00000000" w:rsidRPr="00000000">
        <w:rPr>
          <w:rtl w:val="0"/>
        </w:rPr>
        <w:t xml:space="preserve">RN-13. El canje requiere saldo suficiente del usuario; si no lo hay, la transacción se rechaza sin consumir tokens.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Sobre los roles y la gobernanza del contrato</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2"/>
        </w:numPr>
        <w:ind w:left="720" w:hanging="360"/>
      </w:pPr>
      <w:r w:rsidDel="00000000" w:rsidR="00000000" w:rsidRPr="00000000">
        <w:rPr>
          <w:rtl w:val="0"/>
        </w:rPr>
        <w:t xml:space="preserve">RN-15. Se definen cuatro roles en el contrato: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 (operadores de balanza de supermercados adheridos),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(backend del proyecto, ejecuta quemas previa validación de firma del usuario),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(Vault Address del equipo, gestiona roles, pausas y upgrades) y </w:t>
      </w:r>
      <w:r w:rsidDel="00000000" w:rsidR="00000000" w:rsidRPr="00000000">
        <w:rPr>
          <w:rFonts w:ascii="Roboto Mono" w:cs="Roboto Mono" w:eastAsia="Roboto Mono" w:hAnsi="Roboto Mono"/>
          <w:color w:val="188038"/>
          <w:rtl w:val="0"/>
        </w:rPr>
        <w:t xml:space="preserve">EMERGENCY_ROLE</w:t>
      </w:r>
      <w:r w:rsidDel="00000000" w:rsidR="00000000" w:rsidRPr="00000000">
        <w:rPr>
          <w:rtl w:val="0"/>
        </w:rPr>
        <w:t xml:space="preserve"> (Vault Address, ejecuta emergencyBurn() únicamente con el contrato pausado). La asignación y revocación de todos los roles es exclusiva de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RN-16. Solo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puede pausar el contrato en caso de emergencia; durante la pausa no se permiten mints ni burns.</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RN-17. El contrato y su código fuente son </w:t>
      </w:r>
      <w:r w:rsidDel="00000000" w:rsidR="00000000" w:rsidRPr="00000000">
        <w:rPr>
          <w:b w:val="1"/>
          <w:bCs w:val="1"/>
          <w:rtl w:val="0"/>
        </w:rPr>
        <w:t xml:space="preserve">abiertos y verificados</w:t>
      </w:r>
      <w:r w:rsidDel="00000000" w:rsidR="00000000" w:rsidRPr="00000000">
        <w:rPr>
          <w:rtl w:val="0"/>
        </w:rPr>
        <w:t xml:space="preserve"> en el explorador de bloques, para permitir auditoría pública.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Sobre los reportes y la trazabilidad</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RN-18. El supermercado dispone de reportes de materiales reciclados por período, tokens emitidos y canjes realizados.</w:t>
      </w:r>
    </w:p>
    <w:p w:rsidR="00000000" w:rsidDel="00000000" w:rsidP="00000000" w:rsidRDefault="00000000" w:rsidRPr="00000000" w14:paraId="000000CC">
      <w:pPr>
        <w:numPr>
          <w:ilvl w:val="0"/>
          <w:numId w:val="2"/>
        </w:numPr>
        <w:ind w:left="720" w:hanging="360"/>
      </w:pPr>
      <w:r w:rsidDel="00000000" w:rsidR="00000000" w:rsidRPr="00000000">
        <w:rPr>
          <w:rtl w:val="0"/>
        </w:rPr>
        <w:t xml:space="preserve">RN-19. Los reportes deben ser exportables en un formato presentable ante autoridades municipales.</w:t>
      </w:r>
    </w:p>
    <w:p w:rsidR="00000000" w:rsidDel="00000000" w:rsidP="00000000" w:rsidRDefault="00000000" w:rsidRPr="00000000" w14:paraId="000000CD">
      <w:pPr>
        <w:numPr>
          <w:ilvl w:val="0"/>
          <w:numId w:val="2"/>
        </w:numPr>
        <w:ind w:left="720" w:hanging="360"/>
      </w:pPr>
      <w:r w:rsidDel="00000000" w:rsidR="00000000" w:rsidRPr="00000000">
        <w:rPr>
          <w:rtl w:val="0"/>
        </w:rPr>
        <w:t xml:space="preserve">RN-20. Cualquier actor (usuario, supermercado, municipio) puede verificar independientemente las transacciones a través del explorador de bloques público.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bCs w:val="1"/>
          <w:rtl w:val="0"/>
        </w:rPr>
        <w:t xml:space="preserve">Sobre el modelo económico</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RN-21. El token ECO </w:t>
      </w:r>
      <w:r w:rsidDel="00000000" w:rsidR="00000000" w:rsidRPr="00000000">
        <w:rPr>
          <w:b w:val="1"/>
          <w:bCs w:val="1"/>
          <w:rtl w:val="0"/>
        </w:rPr>
        <w:t xml:space="preserve">no tiene valor monetario de mercado</w:t>
      </w:r>
      <w:r w:rsidDel="00000000" w:rsidR="00000000" w:rsidRPr="00000000">
        <w:rPr>
          <w:rtl w:val="0"/>
        </w:rPr>
        <w:t xml:space="preserve">; su valor se deriva exclusivamente de los beneficios ofrecidos por los comercios adheridos.</w:t>
      </w:r>
    </w:p>
    <w:p w:rsidR="00000000" w:rsidDel="00000000" w:rsidP="00000000" w:rsidRDefault="00000000" w:rsidRPr="00000000" w14:paraId="000000D2">
      <w:pPr>
        <w:numPr>
          <w:ilvl w:val="0"/>
          <w:numId w:val="2"/>
        </w:numPr>
        <w:ind w:left="720" w:hanging="360"/>
      </w:pPr>
      <w:r w:rsidDel="00000000" w:rsidR="00000000" w:rsidRPr="00000000">
        <w:rPr>
          <w:rtl w:val="0"/>
        </w:rPr>
        <w:t xml:space="preserve">RN-22. Los tokens se acuñan </w:t>
      </w:r>
      <w:r w:rsidDel="00000000" w:rsidR="00000000" w:rsidRPr="00000000">
        <w:rPr>
          <w:b w:val="1"/>
          <w:bCs w:val="1"/>
          <w:rtl w:val="0"/>
        </w:rPr>
        <w:t xml:space="preserve">bajo demanda</w:t>
      </w:r>
      <w:r w:rsidDel="00000000" w:rsidR="00000000" w:rsidRPr="00000000">
        <w:rPr>
          <w:rtl w:val="0"/>
        </w:rPr>
        <w:t xml:space="preserve"> (al momento de recibir material), no existe una oferta pre-minteada distribuida al inicio.</w:t>
      </w:r>
    </w:p>
    <w:p w:rsidR="00000000" w:rsidDel="00000000" w:rsidP="00000000" w:rsidRDefault="00000000" w:rsidRPr="00000000" w14:paraId="000000D3">
      <w:pPr>
        <w:numPr>
          <w:ilvl w:val="0"/>
          <w:numId w:val="2"/>
        </w:numPr>
        <w:ind w:left="720" w:hanging="360"/>
      </w:pPr>
      <w:r w:rsidDel="00000000" w:rsidR="00000000" w:rsidRPr="00000000">
        <w:rPr>
          <w:rtl w:val="0"/>
        </w:rPr>
        <w:t xml:space="preserve">RN-23. Las recompensas ofrecidas por el supermercado deben financiarse con los ingresos provenientes de la venta de material a la cooperativa (bucle económico sostenible).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Sobre la experiencia de usuario y la provisión de gas</w:t>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RN-24. El sistema absorbe la totalidad de los costos de gas mediante cuentas operadoras propias (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El usuario autoriza operaciones de canje mediante firma criptográfica off-chain, sin necesidad de poseer ni gestionar ETH en ningún momento durante el uso de la plataforma.</w:t>
      </w:r>
    </w:p>
    <w:p w:rsidR="00000000" w:rsidDel="00000000" w:rsidP="00000000" w:rsidRDefault="00000000" w:rsidRPr="00000000" w14:paraId="000000D8">
      <w:pPr>
        <w:numPr>
          <w:ilvl w:val="0"/>
          <w:numId w:val="2"/>
        </w:numPr>
        <w:ind w:left="720" w:hanging="360"/>
        <w:rPr>
          <w:u w:val="none"/>
        </w:rPr>
      </w:pPr>
      <w:r w:rsidDel="00000000" w:rsidR="00000000" w:rsidRPr="00000000">
        <w:rPr>
          <w:rtl w:val="0"/>
        </w:rPr>
        <w:t xml:space="preserve">RN-25.  El sistema mantiene una dirección EVM designada como Vault Address con rol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controlada exclusivamente por el equipo del proyecto. Esta dirección es la fuente de fondos operativos del protocolo: financia el saldo de gas de las cuentas MINTER y BURNER, y es la única autorizada para modificar roles en el contrato. En el entorno de piloto sobre Sepolia testnet, el Vault Address se aprovisiona mediante faucets públicos sin costo real.</w:t>
      </w:r>
    </w:p>
    <w:p w:rsidR="00000000" w:rsidDel="00000000" w:rsidP="00000000" w:rsidRDefault="00000000" w:rsidRPr="00000000" w14:paraId="000000D9">
      <w:pPr>
        <w:numPr>
          <w:ilvl w:val="0"/>
          <w:numId w:val="2"/>
        </w:numPr>
        <w:ind w:left="720" w:hanging="360"/>
        <w:rPr>
          <w:u w:val="none"/>
        </w:rPr>
      </w:pPr>
      <w:r w:rsidDel="00000000" w:rsidR="00000000" w:rsidRPr="00000000">
        <w:rPr>
          <w:rtl w:val="0"/>
        </w:rPr>
        <w:t xml:space="preserve">RN-26. Las cuentas operadoras  </w:t>
      </w:r>
      <w:r w:rsidDel="00000000" w:rsidR="00000000" w:rsidRPr="00000000">
        <w:rPr>
          <w:rFonts w:ascii="Roboto Mono" w:cs="Roboto Mono" w:eastAsia="Roboto Mono" w:hAnsi="Roboto Mono"/>
          <w:color w:val="188038"/>
          <w:rtl w:val="0"/>
        </w:rPr>
        <w:t xml:space="preserve">MINTER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BURNER</w:t>
      </w:r>
      <w:r w:rsidDel="00000000" w:rsidR="00000000" w:rsidRPr="00000000">
        <w:rPr>
          <w:rtl w:val="0"/>
        </w:rPr>
        <w:t xml:space="preserve"> son independientes entre sí y respecto al Vault Address. Si una cuenta operadora se ve comprometida, puede ser revocada y reemplazada por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sin afectar el resto del sistema ni los fondos del Vault.</w:t>
      </w:r>
    </w:p>
    <w:p w:rsidR="00000000" w:rsidDel="00000000" w:rsidP="00000000" w:rsidRDefault="00000000" w:rsidRPr="00000000" w14:paraId="000000DA">
      <w:pPr>
        <w:numPr>
          <w:ilvl w:val="0"/>
          <w:numId w:val="2"/>
        </w:numPr>
        <w:ind w:left="720" w:hanging="360"/>
        <w:rPr>
          <w:u w:val="none"/>
        </w:rPr>
      </w:pPr>
      <w:r w:rsidDel="00000000" w:rsidR="00000000" w:rsidRPr="00000000">
        <w:rPr>
          <w:rtl w:val="0"/>
        </w:rPr>
        <w:t xml:space="preserve">RN-27. Cuando un usuario autoriza un canje, la aplicación genera una firma criptográfica off-chain usando la clave privada custodial del usuario. Esa firma es enviada al backend, que la valida y ejecuta la transacción de burn on-chain desde la cuenta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El usuario no envía ninguna transacción directamente a la blockchain.</w:t>
      </w:r>
    </w:p>
    <w:p w:rsidR="00000000" w:rsidDel="00000000" w:rsidP="00000000" w:rsidRDefault="00000000" w:rsidRPr="00000000" w14:paraId="000000DB">
      <w:pPr>
        <w:numPr>
          <w:ilvl w:val="0"/>
          <w:numId w:val="2"/>
        </w:numPr>
        <w:ind w:left="720" w:hanging="360"/>
        <w:rPr>
          <w:u w:val="none"/>
        </w:rPr>
      </w:pPr>
      <w:r w:rsidDel="00000000" w:rsidR="00000000" w:rsidRPr="00000000">
        <w:rPr>
          <w:rtl w:val="0"/>
        </w:rPr>
        <w:t xml:space="preserve">RN-28. El sistema dispone de una función de quema de emergencia (</w:t>
      </w:r>
      <w:r w:rsidDel="00000000" w:rsidR="00000000" w:rsidRPr="00000000">
        <w:rPr>
          <w:rFonts w:ascii="Roboto Mono" w:cs="Roboto Mono" w:eastAsia="Roboto Mono" w:hAnsi="Roboto Mono"/>
          <w:color w:val="188038"/>
          <w:rtl w:val="0"/>
        </w:rPr>
        <w:t xml:space="preserve">emergencyBurn</w:t>
      </w:r>
      <w:r w:rsidDel="00000000" w:rsidR="00000000" w:rsidRPr="00000000">
        <w:rPr>
          <w:rtl w:val="0"/>
        </w:rPr>
        <w:t xml:space="preserve">) reservada exclusivamente a direcciones con  </w:t>
      </w:r>
      <w:r w:rsidDel="00000000" w:rsidR="00000000" w:rsidRPr="00000000">
        <w:rPr>
          <w:rFonts w:ascii="Roboto Mono" w:cs="Roboto Mono" w:eastAsia="Roboto Mono" w:hAnsi="Roboto Mono"/>
          <w:color w:val="188038"/>
          <w:rtl w:val="0"/>
        </w:rPr>
        <w:t xml:space="preserve">EMERGENCY_ROLE</w:t>
      </w:r>
      <w:r w:rsidDel="00000000" w:rsidR="00000000" w:rsidRPr="00000000">
        <w:rPr>
          <w:rtl w:val="0"/>
        </w:rPr>
        <w:t xml:space="preserve">, que puede ser la misma Vault Address. Esta función sólo puede ejecutarse mientras el contrato se encuentre en estado de pausa (activado previamente por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Su propósito es mitigar el impacto de vulnerabilidades críticas detectadas, por ejemplo, tokens acuñados fraudulentamente. Toda ejecución de esta función queda registrada on-chain como evento auditable. Este mecanismo no constituye una operación rutinaria del sistema</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RN-29.  El contrato inteligente de ECOToken implementa el patrón de proxy upgradeable UUPS (EIP-1822) mediante las librerías de OpenZeppelin. Esto permite al equipo corregir vulnerabilidades o incorporar nuevas funcionalidades desplegando una nueva versión de la lógica sin alterar la dirección pública del contrato ni el historial de saldos de los usuarios. La capacidad de realizar upgrades está restringida exclusivamente a direcciones con </w:t>
      </w:r>
      <w:r w:rsidDel="00000000" w:rsidR="00000000" w:rsidRPr="00000000">
        <w:rPr>
          <w:rFonts w:ascii="Roboto Mono" w:cs="Roboto Mono" w:eastAsia="Roboto Mono" w:hAnsi="Roboto Mono"/>
          <w:color w:val="188038"/>
          <w:rtl w:val="0"/>
        </w:rPr>
        <w:t xml:space="preserve">ADMIN_ROLE</w:t>
      </w:r>
      <w:r w:rsidDel="00000000" w:rsidR="00000000" w:rsidRPr="00000000">
        <w:rPr>
          <w:rtl w:val="0"/>
        </w:rPr>
        <w:t xml:space="preserve"> . Todo upgrade queda registrado on-chain como evento auditable.</w:t>
      </w:r>
    </w:p>
    <w:p w:rsidR="00000000" w:rsidDel="00000000" w:rsidP="00000000" w:rsidRDefault="00000000" w:rsidRPr="00000000" w14:paraId="000000DD">
      <w:pPr>
        <w:pStyle w:val="Heading3"/>
        <w:rPr/>
      </w:pPr>
      <w:bookmarkStart w:colFirst="0" w:colLast="0" w:name="_47vo7dtf6l4p" w:id="23"/>
      <w:bookmarkEnd w:id="23"/>
      <w:r w:rsidDel="00000000" w:rsidR="00000000" w:rsidRPr="00000000">
        <w:rPr>
          <w:rtl w:val="0"/>
        </w:rPr>
        <w:t xml:space="preserve">4.2. Propuesta de investigación / capacitación</w:t>
      </w:r>
    </w:p>
    <w:p w:rsidR="00000000" w:rsidDel="00000000" w:rsidP="00000000" w:rsidRDefault="00000000" w:rsidRPr="00000000" w14:paraId="000000DE">
      <w:pPr>
        <w:rPr/>
      </w:pPr>
      <w:r w:rsidDel="00000000" w:rsidR="00000000" w:rsidRPr="00000000">
        <w:rPr>
          <w:rtl w:val="0"/>
        </w:rPr>
        <w:t xml:space="preserve">Se identifican los ejes de investigación y capacitación que el equipo deberá abordar para llevar adelante el desarrollo. Se clasifican por prioridad.</w:t>
      </w:r>
    </w:p>
    <w:p w:rsidR="00000000" w:rsidDel="00000000" w:rsidP="00000000" w:rsidRDefault="00000000" w:rsidRPr="00000000" w14:paraId="000000DF">
      <w:pPr>
        <w:pStyle w:val="Heading4"/>
        <w:rPr/>
      </w:pPr>
      <w:bookmarkStart w:colFirst="0" w:colLast="0" w:name="_7fwt44hj0p3o" w:id="24"/>
      <w:bookmarkEnd w:id="24"/>
      <w:r w:rsidDel="00000000" w:rsidR="00000000" w:rsidRPr="00000000">
        <w:rPr>
          <w:rtl w:val="0"/>
        </w:rPr>
        <w:t xml:space="preserve">Prioridad alta (bloqueantes para el MVP)</w:t>
      </w:r>
    </w:p>
    <w:p w:rsidR="00000000" w:rsidDel="00000000" w:rsidP="00000000" w:rsidRDefault="00000000" w:rsidRPr="00000000" w14:paraId="000000E0">
      <w:pPr>
        <w:numPr>
          <w:ilvl w:val="0"/>
          <w:numId w:val="7"/>
        </w:numPr>
        <w:ind w:left="720" w:hanging="360"/>
      </w:pPr>
      <w:r w:rsidDel="00000000" w:rsidR="00000000" w:rsidRPr="00000000">
        <w:rPr>
          <w:b w:val="1"/>
          <w:bCs w:val="1"/>
          <w:rtl w:val="0"/>
        </w:rPr>
        <w:t xml:space="preserve">Desarrollo de smart contracts ERC-20 en Solidity con Foundry.</w:t>
      </w:r>
      <w:r w:rsidDel="00000000" w:rsidR="00000000" w:rsidRPr="00000000">
        <w:rPr>
          <w:rtl w:val="0"/>
        </w:rPr>
      </w:r>
    </w:p>
    <w:p w:rsidR="00000000" w:rsidDel="00000000" w:rsidP="00000000" w:rsidRDefault="00000000" w:rsidRPr="00000000" w14:paraId="000000E1">
      <w:pPr>
        <w:numPr>
          <w:ilvl w:val="1"/>
          <w:numId w:val="7"/>
        </w:numPr>
        <w:ind w:left="1440" w:hanging="360"/>
      </w:pPr>
      <w:r w:rsidDel="00000000" w:rsidR="00000000" w:rsidRPr="00000000">
        <w:rPr>
          <w:rtl w:val="0"/>
        </w:rPr>
        <w:t xml:space="preserve">Patrones de OpenZeppelin: </w:t>
      </w:r>
      <w:r w:rsidDel="00000000" w:rsidR="00000000" w:rsidRPr="00000000">
        <w:rPr>
          <w:rFonts w:ascii="Roboto Mono" w:cs="Roboto Mono" w:eastAsia="Roboto Mono" w:hAnsi="Roboto Mono"/>
          <w:color w:val="188038"/>
          <w:rtl w:val="0"/>
        </w:rPr>
        <w:t xml:space="preserve">AccessControl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ERC20Capped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Pausable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ERC20Burnable</w:t>
      </w:r>
      <w:r w:rsidDel="00000000" w:rsidR="00000000" w:rsidRPr="00000000">
        <w:rPr>
          <w:rtl w:val="0"/>
        </w:rPr>
        <w:t xml:space="preserve">.</w:t>
      </w:r>
    </w:p>
    <w:p w:rsidR="00000000" w:rsidDel="00000000" w:rsidP="00000000" w:rsidRDefault="00000000" w:rsidRPr="00000000" w14:paraId="000000E2">
      <w:pPr>
        <w:numPr>
          <w:ilvl w:val="1"/>
          <w:numId w:val="7"/>
        </w:numPr>
        <w:ind w:left="1440" w:hanging="360"/>
      </w:pPr>
      <w:r w:rsidDel="00000000" w:rsidR="00000000" w:rsidRPr="00000000">
        <w:rPr>
          <w:rtl w:val="0"/>
        </w:rPr>
        <w:t xml:space="preserve">Testing unitario y fuzzing en Foundry.</w:t>
      </w:r>
    </w:p>
    <w:p w:rsidR="00000000" w:rsidDel="00000000" w:rsidP="00000000" w:rsidRDefault="00000000" w:rsidRPr="00000000" w14:paraId="000000E3">
      <w:pPr>
        <w:numPr>
          <w:ilvl w:val="1"/>
          <w:numId w:val="7"/>
        </w:numPr>
        <w:ind w:left="1440" w:hanging="360"/>
      </w:pPr>
      <w:r w:rsidDel="00000000" w:rsidR="00000000" w:rsidRPr="00000000">
        <w:rPr>
          <w:rtl w:val="0"/>
        </w:rPr>
        <w:t xml:space="preserve">Despliegue y verificación en Sepolia (Etherscan).</w:t>
      </w:r>
    </w:p>
    <w:p w:rsidR="00000000" w:rsidDel="00000000" w:rsidP="00000000" w:rsidRDefault="00000000" w:rsidRPr="00000000" w14:paraId="000000E4">
      <w:pPr>
        <w:numPr>
          <w:ilvl w:val="0"/>
          <w:numId w:val="7"/>
        </w:numPr>
        <w:ind w:left="720" w:hanging="360"/>
      </w:pPr>
      <w:r w:rsidDel="00000000" w:rsidR="00000000" w:rsidRPr="00000000">
        <w:rPr>
          <w:b w:val="1"/>
          <w:bCs w:val="1"/>
          <w:rtl w:val="0"/>
        </w:rPr>
        <w:t xml:space="preserve">Diseño de tokenomics sin valor monetario.</w:t>
      </w:r>
      <w:r w:rsidDel="00000000" w:rsidR="00000000" w:rsidRPr="00000000">
        <w:rPr>
          <w:rtl w:val="0"/>
        </w:rPr>
      </w:r>
    </w:p>
    <w:p w:rsidR="00000000" w:rsidDel="00000000" w:rsidP="00000000" w:rsidRDefault="00000000" w:rsidRPr="00000000" w14:paraId="000000E5">
      <w:pPr>
        <w:numPr>
          <w:ilvl w:val="1"/>
          <w:numId w:val="7"/>
        </w:numPr>
        <w:ind w:left="1440" w:hanging="360"/>
      </w:pPr>
      <w:r w:rsidDel="00000000" w:rsidR="00000000" w:rsidRPr="00000000">
        <w:rPr>
          <w:rFonts w:ascii="Arial Unicode MS" w:cs="Arial Unicode MS" w:eastAsia="Arial Unicode MS" w:hAnsi="Arial Unicode MS"/>
          <w:rtl w:val="0"/>
        </w:rPr>
        <w:t xml:space="preserve">Definición de la tasa de conversión peso-material → tokens.</w:t>
      </w:r>
    </w:p>
    <w:p w:rsidR="00000000" w:rsidDel="00000000" w:rsidP="00000000" w:rsidRDefault="00000000" w:rsidRPr="00000000" w14:paraId="000000E6">
      <w:pPr>
        <w:numPr>
          <w:ilvl w:val="1"/>
          <w:numId w:val="7"/>
        </w:numPr>
        <w:ind w:left="1440" w:hanging="360"/>
      </w:pPr>
      <w:r w:rsidDel="00000000" w:rsidR="00000000" w:rsidRPr="00000000">
        <w:rPr>
          <w:rtl w:val="0"/>
        </w:rPr>
        <w:t xml:space="preserve">Definición del supply cap inicial y criterios para ajustarlo.</w:t>
      </w:r>
    </w:p>
    <w:p w:rsidR="00000000" w:rsidDel="00000000" w:rsidP="00000000" w:rsidRDefault="00000000" w:rsidRPr="00000000" w14:paraId="000000E7">
      <w:pPr>
        <w:numPr>
          <w:ilvl w:val="1"/>
          <w:numId w:val="7"/>
        </w:numPr>
        <w:ind w:left="1440" w:hanging="360"/>
      </w:pPr>
      <w:r w:rsidDel="00000000" w:rsidR="00000000" w:rsidRPr="00000000">
        <w:rPr>
          <w:rtl w:val="0"/>
        </w:rPr>
        <w:t xml:space="preserve">Mecánica de mint bajo demanda vs. pre-minteo.</w:t>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Autenticación Web3 para usuarios no técnicos.</w:t>
      </w:r>
      <w:r w:rsidDel="00000000" w:rsidR="00000000" w:rsidRPr="00000000">
        <w:rPr>
          <w:rtl w:val="0"/>
        </w:rPr>
      </w:r>
    </w:p>
    <w:p w:rsidR="00000000" w:rsidDel="00000000" w:rsidP="00000000" w:rsidRDefault="00000000" w:rsidRPr="00000000" w14:paraId="000000E9">
      <w:pPr>
        <w:numPr>
          <w:ilvl w:val="1"/>
          <w:numId w:val="7"/>
        </w:numPr>
        <w:ind w:left="1440" w:hanging="360"/>
      </w:pPr>
      <w:r w:rsidDel="00000000" w:rsidR="00000000" w:rsidRPr="00000000">
        <w:rPr>
          <w:rtl w:val="0"/>
        </w:rPr>
        <w:t xml:space="preserve">Sign-In With Ethereum (EIP-4361).</w:t>
      </w:r>
    </w:p>
    <w:p w:rsidR="00000000" w:rsidDel="00000000" w:rsidP="00000000" w:rsidRDefault="00000000" w:rsidRPr="00000000" w14:paraId="000000EA">
      <w:pPr>
        <w:numPr>
          <w:ilvl w:val="1"/>
          <w:numId w:val="7"/>
        </w:numPr>
        <w:ind w:left="1440" w:hanging="360"/>
      </w:pPr>
      <w:r w:rsidDel="00000000" w:rsidR="00000000" w:rsidRPr="00000000">
        <w:rPr>
          <w:rtl w:val="0"/>
        </w:rPr>
        <w:t xml:space="preserve">Billeteras custodiales: diseño, resguardo de claves, UX.</w:t>
      </w:r>
    </w:p>
    <w:p w:rsidR="00000000" w:rsidDel="00000000" w:rsidP="00000000" w:rsidRDefault="00000000" w:rsidRPr="00000000" w14:paraId="000000EB">
      <w:pPr>
        <w:numPr>
          <w:ilvl w:val="1"/>
          <w:numId w:val="7"/>
        </w:numPr>
        <w:ind w:left="1440" w:hanging="360"/>
        <w:rPr>
          <w:u w:val="none"/>
        </w:rPr>
      </w:pPr>
      <w:r w:rsidDel="00000000" w:rsidR="00000000" w:rsidRPr="00000000">
        <w:rPr>
          <w:rtl w:val="0"/>
        </w:rPr>
        <w:t xml:space="preserve">Implementación del modelo de firma off-chain EIP-712 y relayer backend: el usuario firma sin gas y el </w:t>
      </w:r>
      <w:r w:rsidDel="00000000" w:rsidR="00000000" w:rsidRPr="00000000">
        <w:rPr>
          <w:rFonts w:ascii="Roboto Mono" w:cs="Roboto Mono" w:eastAsia="Roboto Mono" w:hAnsi="Roboto Mono"/>
          <w:color w:val="188038"/>
          <w:rtl w:val="0"/>
        </w:rPr>
        <w:t xml:space="preserve">BURNER_ROLE</w:t>
      </w:r>
      <w:r w:rsidDel="00000000" w:rsidR="00000000" w:rsidRPr="00000000">
        <w:rPr>
          <w:rtl w:val="0"/>
        </w:rPr>
        <w:t xml:space="preserve"> ejecuta la transacción on-chain.</w:t>
      </w:r>
    </w:p>
    <w:p w:rsidR="00000000" w:rsidDel="00000000" w:rsidP="00000000" w:rsidRDefault="00000000" w:rsidRPr="00000000" w14:paraId="000000EC">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Integración backend ↔ blockchain.</w:t>
      </w:r>
      <w:r w:rsidDel="00000000" w:rsidR="00000000" w:rsidRPr="00000000">
        <w:rPr>
          <w:rtl w:val="0"/>
        </w:rPr>
      </w:r>
    </w:p>
    <w:p w:rsidR="00000000" w:rsidDel="00000000" w:rsidP="00000000" w:rsidRDefault="00000000" w:rsidRPr="00000000" w14:paraId="000000ED">
      <w:pPr>
        <w:numPr>
          <w:ilvl w:val="1"/>
          <w:numId w:val="7"/>
        </w:numPr>
        <w:ind w:left="1440" w:hanging="360"/>
      </w:pPr>
      <w:r w:rsidDel="00000000" w:rsidR="00000000" w:rsidRPr="00000000">
        <w:rPr>
          <w:rtl w:val="0"/>
        </w:rPr>
        <w:t xml:space="preserve">Uso de </w:t>
      </w:r>
      <w:r w:rsidDel="00000000" w:rsidR="00000000" w:rsidRPr="00000000">
        <w:rPr>
          <w:rFonts w:ascii="Roboto Mono" w:cs="Roboto Mono" w:eastAsia="Roboto Mono" w:hAnsi="Roboto Mono"/>
          <w:color w:val="188038"/>
          <w:rtl w:val="0"/>
        </w:rPr>
        <w:t xml:space="preserve">ethers.js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viem</w:t>
      </w:r>
      <w:r w:rsidDel="00000000" w:rsidR="00000000" w:rsidRPr="00000000">
        <w:rPr>
          <w:rtl w:val="0"/>
        </w:rPr>
        <w:t xml:space="preserve"> en NestJS.</w:t>
      </w:r>
    </w:p>
    <w:p w:rsidR="00000000" w:rsidDel="00000000" w:rsidP="00000000" w:rsidRDefault="00000000" w:rsidRPr="00000000" w14:paraId="000000EE">
      <w:pPr>
        <w:numPr>
          <w:ilvl w:val="1"/>
          <w:numId w:val="7"/>
        </w:numPr>
        <w:ind w:left="1440" w:hanging="360"/>
      </w:pPr>
      <w:r w:rsidDel="00000000" w:rsidR="00000000" w:rsidRPr="00000000">
        <w:rPr>
          <w:rtl w:val="0"/>
        </w:rPr>
        <w:t xml:space="preserve">Gestión segura de claves de operador (servidor que mintea como </w:t>
      </w:r>
      <w:r w:rsidDel="00000000" w:rsidR="00000000" w:rsidRPr="00000000">
        <w:rPr>
          <w:rFonts w:ascii="Roboto Mono" w:cs="Roboto Mono" w:eastAsia="Roboto Mono" w:hAnsi="Roboto Mono"/>
          <w:color w:val="188038"/>
          <w:rtl w:val="0"/>
        </w:rPr>
        <w:t xml:space="preserve">MINTER_ROLE</w:t>
      </w:r>
      <w:r w:rsidDel="00000000" w:rsidR="00000000" w:rsidRPr="00000000">
        <w:rPr>
          <w:rtl w:val="0"/>
        </w:rPr>
        <w:t xml:space="preserve">).</w:t>
      </w:r>
    </w:p>
    <w:p w:rsidR="00000000" w:rsidDel="00000000" w:rsidP="00000000" w:rsidRDefault="00000000" w:rsidRPr="00000000" w14:paraId="000000EF">
      <w:pPr>
        <w:numPr>
          <w:ilvl w:val="1"/>
          <w:numId w:val="7"/>
        </w:numPr>
        <w:ind w:left="1440" w:hanging="360"/>
      </w:pPr>
      <w:r w:rsidDel="00000000" w:rsidR="00000000" w:rsidRPr="00000000">
        <w:rPr>
          <w:rtl w:val="0"/>
        </w:rPr>
        <w:t xml:space="preserve">Escucha de eventos on-chain para sincronizar estado off-chain en PostgreSQL.</w:t>
      </w:r>
    </w:p>
    <w:p w:rsidR="00000000" w:rsidDel="00000000" w:rsidP="00000000" w:rsidRDefault="00000000" w:rsidRPr="00000000" w14:paraId="000000F0">
      <w:pPr>
        <w:pStyle w:val="Heading4"/>
        <w:rPr/>
      </w:pPr>
      <w:bookmarkStart w:colFirst="0" w:colLast="0" w:name="_ol1cmfnff1y6" w:id="25"/>
      <w:bookmarkEnd w:id="25"/>
      <w:r w:rsidDel="00000000" w:rsidR="00000000" w:rsidRPr="00000000">
        <w:rPr>
          <w:rtl w:val="0"/>
        </w:rPr>
        <w:t xml:space="preserve">Prioridad media (necesarios durante el desarrollo)</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Generación y validación criptográfica de códigos QR de canje.</w:t>
      </w:r>
      <w:r w:rsidDel="00000000" w:rsidR="00000000" w:rsidRPr="00000000">
        <w:rPr>
          <w:rtl w:val="0"/>
        </w:rPr>
      </w:r>
    </w:p>
    <w:p w:rsidR="00000000" w:rsidDel="00000000" w:rsidP="00000000" w:rsidRDefault="00000000" w:rsidRPr="00000000" w14:paraId="000000F2">
      <w:pPr>
        <w:numPr>
          <w:ilvl w:val="1"/>
          <w:numId w:val="7"/>
        </w:numPr>
        <w:ind w:left="1440" w:hanging="360"/>
      </w:pPr>
      <w:r w:rsidDel="00000000" w:rsidR="00000000" w:rsidRPr="00000000">
        <w:rPr>
          <w:rtl w:val="0"/>
        </w:rPr>
        <w:t xml:space="preserve">QR firmados de uso único con vigencia limitada.</w:t>
      </w:r>
    </w:p>
    <w:p w:rsidR="00000000" w:rsidDel="00000000" w:rsidP="00000000" w:rsidRDefault="00000000" w:rsidRPr="00000000" w14:paraId="000000F3">
      <w:pPr>
        <w:numPr>
          <w:ilvl w:val="1"/>
          <w:numId w:val="7"/>
        </w:numPr>
        <w:ind w:left="1440" w:hanging="360"/>
      </w:pPr>
      <w:r w:rsidDel="00000000" w:rsidR="00000000" w:rsidRPr="00000000">
        <w:rPr>
          <w:rtl w:val="0"/>
        </w:rPr>
        <w:t xml:space="preserve">Prevención de replay y de doble gasto.</w:t>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Arquitectura modular en NestJS con Prisma y PostgreSQL.</w:t>
      </w:r>
      <w:r w:rsidDel="00000000" w:rsidR="00000000" w:rsidRPr="00000000">
        <w:rPr>
          <w:rtl w:val="0"/>
        </w:rPr>
      </w:r>
    </w:p>
    <w:p w:rsidR="00000000" w:rsidDel="00000000" w:rsidP="00000000" w:rsidRDefault="00000000" w:rsidRPr="00000000" w14:paraId="000000F5">
      <w:pPr>
        <w:numPr>
          <w:ilvl w:val="1"/>
          <w:numId w:val="7"/>
        </w:numPr>
        <w:ind w:left="1440" w:hanging="360"/>
      </w:pPr>
      <w:r w:rsidDel="00000000" w:rsidR="00000000" w:rsidRPr="00000000">
        <w:rPr>
          <w:rtl w:val="0"/>
        </w:rPr>
        <w:t xml:space="preserve">Separación de dominios: usuarios, depósitos, canjes, reportes.</w:t>
      </w:r>
    </w:p>
    <w:p w:rsidR="00000000" w:rsidDel="00000000" w:rsidP="00000000" w:rsidRDefault="00000000" w:rsidRPr="00000000" w14:paraId="000000F6">
      <w:pPr>
        <w:numPr>
          <w:ilvl w:val="1"/>
          <w:numId w:val="7"/>
        </w:numPr>
        <w:ind w:left="1440" w:hanging="360"/>
      </w:pPr>
      <w:r w:rsidDel="00000000" w:rsidR="00000000" w:rsidRPr="00000000">
        <w:rPr>
          <w:rtl w:val="0"/>
        </w:rPr>
        <w:t xml:space="preserve">API REST y canal de WebSocket para actualizaciones en tiempo real.</w:t>
      </w:r>
    </w:p>
    <w:p w:rsidR="00000000" w:rsidDel="00000000" w:rsidP="00000000" w:rsidRDefault="00000000" w:rsidRPr="00000000" w14:paraId="000000F7">
      <w:pPr>
        <w:numPr>
          <w:ilvl w:val="0"/>
          <w:numId w:val="7"/>
        </w:numPr>
        <w:ind w:left="720" w:hanging="360"/>
      </w:pPr>
      <w:r w:rsidDel="00000000" w:rsidR="00000000" w:rsidRPr="00000000">
        <w:rPr>
          <w:b w:val="1"/>
          <w:bCs w:val="1"/>
          <w:rtl w:val="0"/>
        </w:rPr>
        <w:t xml:space="preserve">Frontend web-mobile con React + Vite + TailwindCSS.</w:t>
      </w:r>
      <w:r w:rsidDel="00000000" w:rsidR="00000000" w:rsidRPr="00000000">
        <w:rPr>
          <w:rtl w:val="0"/>
        </w:rPr>
      </w:r>
    </w:p>
    <w:p w:rsidR="00000000" w:rsidDel="00000000" w:rsidP="00000000" w:rsidRDefault="00000000" w:rsidRPr="00000000" w14:paraId="000000F8">
      <w:pPr>
        <w:numPr>
          <w:ilvl w:val="1"/>
          <w:numId w:val="7"/>
        </w:numPr>
        <w:ind w:left="1440" w:hanging="360"/>
      </w:pPr>
      <w:r w:rsidDel="00000000" w:rsidR="00000000" w:rsidRPr="00000000">
        <w:rPr>
          <w:rtl w:val="0"/>
        </w:rPr>
        <w:t xml:space="preserve">UX orientada a usuario no técnico (onboarding sin jerga cripto).</w:t>
      </w:r>
    </w:p>
    <w:p w:rsidR="00000000" w:rsidDel="00000000" w:rsidP="00000000" w:rsidRDefault="00000000" w:rsidRPr="00000000" w14:paraId="000000F9">
      <w:pPr>
        <w:numPr>
          <w:ilvl w:val="1"/>
          <w:numId w:val="7"/>
        </w:numPr>
        <w:ind w:left="1440" w:hanging="360"/>
      </w:pPr>
      <w:r w:rsidDel="00000000" w:rsidR="00000000" w:rsidRPr="00000000">
        <w:rPr>
          <w:rtl w:val="0"/>
        </w:rPr>
        <w:t xml:space="preserve">Optimización mobile.</w:t>
      </w:r>
    </w:p>
    <w:p w:rsidR="00000000" w:rsidDel="00000000" w:rsidP="00000000" w:rsidRDefault="00000000" w:rsidRPr="00000000" w14:paraId="000000FA">
      <w:pPr>
        <w:pStyle w:val="Heading4"/>
        <w:rPr/>
      </w:pPr>
      <w:bookmarkStart w:colFirst="0" w:colLast="0" w:name="_j7iyjgslii4z" w:id="26"/>
      <w:bookmarkEnd w:id="26"/>
      <w:r w:rsidDel="00000000" w:rsidR="00000000" w:rsidRPr="00000000">
        <w:rPr>
          <w:rtl w:val="0"/>
        </w:rPr>
        <w:t xml:space="preserve">Prioridad a futuro / investigación complementaria</w:t>
      </w:r>
    </w:p>
    <w:p w:rsidR="00000000" w:rsidDel="00000000" w:rsidP="00000000" w:rsidRDefault="00000000" w:rsidRPr="00000000" w14:paraId="000000FB">
      <w:pPr>
        <w:numPr>
          <w:ilvl w:val="0"/>
          <w:numId w:val="7"/>
        </w:numPr>
        <w:ind w:left="720" w:hanging="360"/>
      </w:pPr>
      <w:r w:rsidDel="00000000" w:rsidR="00000000" w:rsidRPr="00000000">
        <w:rPr>
          <w:b w:val="1"/>
          <w:bCs w:val="1"/>
          <w:rtl w:val="0"/>
        </w:rPr>
        <w:t xml:space="preserve">Modelo de gobernanza</w:t>
      </w:r>
      <w:r w:rsidDel="00000000" w:rsidR="00000000" w:rsidRPr="00000000">
        <w:rPr>
          <w:rtl w:val="0"/>
        </w:rPr>
        <w:t xml:space="preserve"> del ecosistema (qué actor decide cambios de tabla de conversión, catálogo de descuentos, incorporación de nuevos supermercados).</w:t>
      </w:r>
    </w:p>
    <w:p w:rsidR="00000000" w:rsidDel="00000000" w:rsidP="00000000" w:rsidRDefault="00000000" w:rsidRPr="00000000" w14:paraId="000000FC">
      <w:pPr>
        <w:numPr>
          <w:ilvl w:val="0"/>
          <w:numId w:val="7"/>
        </w:numPr>
        <w:ind w:left="720" w:hanging="360"/>
      </w:pPr>
      <w:r w:rsidDel="00000000" w:rsidR="00000000" w:rsidRPr="00000000">
        <w:rPr>
          <w:b w:val="1"/>
          <w:bCs w:val="1"/>
          <w:rtl w:val="0"/>
        </w:rPr>
        <w:t xml:space="preserve">Análisis regulatorio</w:t>
      </w:r>
      <w:r w:rsidDel="00000000" w:rsidR="00000000" w:rsidRPr="00000000">
        <w:rPr>
          <w:rtl w:val="0"/>
        </w:rPr>
        <w:t xml:space="preserve"> sobre tokens sin valor monetario en Argentina y su interacción con programas de fidelización y protección al consumidor.</w:t>
      </w:r>
    </w:p>
    <w:p w:rsidR="00000000" w:rsidDel="00000000" w:rsidP="00000000" w:rsidRDefault="00000000" w:rsidRPr="00000000" w14:paraId="000000FD">
      <w:pPr>
        <w:numPr>
          <w:ilvl w:val="0"/>
          <w:numId w:val="7"/>
        </w:numPr>
        <w:ind w:left="720" w:hanging="360"/>
      </w:pPr>
      <w:r w:rsidDel="00000000" w:rsidR="00000000" w:rsidRPr="00000000">
        <w:rPr>
          <w:rFonts w:ascii="Arial Unicode MS" w:cs="Arial Unicode MS" w:eastAsia="Arial Unicode MS" w:hAnsi="Arial Unicode MS"/>
          <w:b w:val="1"/>
          <w:bCs w:val="1"/>
          <w:rtl w:val="0"/>
        </w:rPr>
        <w:t xml:space="preserve">Sostenibilidad económica del bucle supermercado ↔ cooperativa</w:t>
      </w:r>
      <w:r w:rsidDel="00000000" w:rsidR="00000000" w:rsidRPr="00000000">
        <w:rPr>
          <w:rtl w:val="0"/>
        </w:rPr>
        <w:t xml:space="preserve"> con datos reales de precio de material valorizado en Villa María.</w:t>
      </w:r>
    </w:p>
    <w:p w:rsidR="00000000" w:rsidDel="00000000" w:rsidP="00000000" w:rsidRDefault="00000000" w:rsidRPr="00000000" w14:paraId="000000FE">
      <w:pPr>
        <w:numPr>
          <w:ilvl w:val="0"/>
          <w:numId w:val="7"/>
        </w:numPr>
        <w:ind w:left="720" w:hanging="360"/>
      </w:pPr>
      <w:r w:rsidDel="00000000" w:rsidR="00000000" w:rsidRPr="00000000">
        <w:rPr>
          <w:b w:val="1"/>
          <w:bCs w:val="1"/>
          <w:rtl w:val="0"/>
        </w:rPr>
        <w:t xml:space="preserve">Modelo alternativo "Ecoladrillos"</w:t>
      </w:r>
      <w:r w:rsidDel="00000000" w:rsidR="00000000" w:rsidRPr="00000000">
        <w:rPr>
          <w:rtl w:val="0"/>
        </w:rPr>
        <w:t xml:space="preserve"> como contingencia de impacto social no monetario.</w:t>
      </w:r>
    </w:p>
    <w:p w:rsidR="00000000" w:rsidDel="00000000" w:rsidP="00000000" w:rsidRDefault="00000000" w:rsidRPr="00000000" w14:paraId="000000FF">
      <w:pPr>
        <w:pStyle w:val="Heading4"/>
        <w:rPr/>
      </w:pPr>
      <w:bookmarkStart w:colFirst="0" w:colLast="0" w:name="_4ovoqp7vd671" w:id="27"/>
      <w:bookmarkEnd w:id="27"/>
      <w:r w:rsidDel="00000000" w:rsidR="00000000" w:rsidRPr="00000000">
        <w:rPr>
          <w:rtl w:val="0"/>
        </w:rPr>
        <w:t xml:space="preserve">Metodología de trabajo del equipo</w:t>
      </w:r>
    </w:p>
    <w:p w:rsidR="00000000" w:rsidDel="00000000" w:rsidP="00000000" w:rsidRDefault="00000000" w:rsidRPr="00000000" w14:paraId="00000100">
      <w:pPr>
        <w:numPr>
          <w:ilvl w:val="0"/>
          <w:numId w:val="4"/>
        </w:numPr>
        <w:ind w:left="720" w:hanging="360"/>
      </w:pPr>
      <w:r w:rsidDel="00000000" w:rsidR="00000000" w:rsidRPr="00000000">
        <w:rPr>
          <w:b w:val="1"/>
          <w:bCs w:val="1"/>
          <w:rtl w:val="0"/>
        </w:rPr>
        <w:t xml:space="preserve">Marco de trabajo:</w:t>
      </w:r>
      <w:r w:rsidDel="00000000" w:rsidR="00000000" w:rsidRPr="00000000">
        <w:rPr>
          <w:rtl w:val="0"/>
        </w:rPr>
        <w:t xml:space="preserve"> Scrum adaptado al contexto académico. Sprints cortos con entregables incrementales revisados por el director del proyecto final al cierre de cada sprint.</w:t>
      </w:r>
    </w:p>
    <w:p w:rsidR="00000000" w:rsidDel="00000000" w:rsidP="00000000" w:rsidRDefault="00000000" w:rsidRPr="00000000" w14:paraId="00000101">
      <w:pPr>
        <w:numPr>
          <w:ilvl w:val="0"/>
          <w:numId w:val="4"/>
        </w:numPr>
        <w:ind w:left="720" w:hanging="360"/>
      </w:pPr>
      <w:r w:rsidDel="00000000" w:rsidR="00000000" w:rsidRPr="00000000">
        <w:rPr>
          <w:b w:val="1"/>
          <w:bCs w:val="1"/>
          <w:rtl w:val="0"/>
        </w:rPr>
        <w:t xml:space="preserve">Herramientas de gestión:</w:t>
      </w:r>
      <w:r w:rsidDel="00000000" w:rsidR="00000000" w:rsidRPr="00000000">
        <w:rPr>
          <w:rtl w:val="0"/>
        </w:rPr>
        <w:t xml:space="preserve"> GitHub (código y tablero de issues), Google Docs (documentación colaborativa), Figma (diseño de UI/UX), Discord (comunicación del equipo).</w:t>
      </w:r>
    </w:p>
    <w:p w:rsidR="00000000" w:rsidDel="00000000" w:rsidP="00000000" w:rsidRDefault="00000000" w:rsidRPr="00000000" w14:paraId="00000102">
      <w:pPr>
        <w:numPr>
          <w:ilvl w:val="0"/>
          <w:numId w:val="4"/>
        </w:numPr>
        <w:ind w:left="720" w:hanging="360"/>
      </w:pPr>
      <w:r w:rsidDel="00000000" w:rsidR="00000000" w:rsidRPr="00000000">
        <w:rPr>
          <w:b w:val="1"/>
          <w:bCs w:val="1"/>
          <w:rtl w:val="0"/>
        </w:rPr>
        <w:t xml:space="preserve">Organización del repositorio:</w:t>
      </w:r>
      <w:r w:rsidDel="00000000" w:rsidR="00000000" w:rsidRPr="00000000">
        <w:rPr>
          <w:rtl w:val="0"/>
        </w:rPr>
        <w:t xml:space="preserve"> monorepo con carpetas </w:t>
      </w:r>
      <w:r w:rsidDel="00000000" w:rsidR="00000000" w:rsidRPr="00000000">
        <w:rPr>
          <w:rFonts w:ascii="Roboto Mono" w:cs="Roboto Mono" w:eastAsia="Roboto Mono" w:hAnsi="Roboto Mono"/>
          <w:color w:val="188038"/>
          <w:rtl w:val="0"/>
        </w:rPr>
        <w:t xml:space="preserve">/contracts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/frontend</w:t>
      </w:r>
      <w:r w:rsidDel="00000000" w:rsidR="00000000" w:rsidRPr="00000000">
        <w:rPr>
          <w:rtl w:val="0"/>
        </w:rPr>
        <w:t xml:space="preserv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pStyle w:val="Heading2"/>
        <w:rPr/>
      </w:pPr>
      <w:bookmarkStart w:colFirst="0" w:colLast="0" w:name="_oz3dxnf7sfj5" w:id="28"/>
      <w:bookmarkEnd w:id="28"/>
      <w:r w:rsidDel="00000000" w:rsidR="00000000" w:rsidRPr="00000000">
        <w:rPr>
          <w:rtl w:val="0"/>
        </w:rPr>
        <w:t xml:space="preserve">5. Próximos pasos hacia la V1.1</w:t>
      </w:r>
    </w:p>
    <w:p w:rsidR="00000000" w:rsidDel="00000000" w:rsidP="00000000" w:rsidRDefault="00000000" w:rsidRPr="00000000" w14:paraId="00000105">
      <w:pPr>
        <w:rPr/>
      </w:pPr>
      <w:r w:rsidDel="00000000" w:rsidR="00000000" w:rsidRPr="00000000">
        <w:rPr>
          <w:rtl w:val="0"/>
        </w:rPr>
        <w:t xml:space="preserve">Acciones ya comprometidas que alimentarán la próxima iteración del documento: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4"/>
        </w:numPr>
        <w:ind w:left="720" w:hanging="360"/>
      </w:pPr>
      <w:r w:rsidDel="00000000" w:rsidR="00000000" w:rsidRPr="00000000">
        <w:rPr>
          <w:rtl w:val="0"/>
        </w:rPr>
        <w:t xml:space="preserve">Contacto con la </w:t>
      </w:r>
      <w:r w:rsidDel="00000000" w:rsidR="00000000" w:rsidRPr="00000000">
        <w:rPr>
          <w:b w:val="1"/>
          <w:bCs w:val="1"/>
          <w:rtl w:val="0"/>
        </w:rPr>
        <w:t xml:space="preserve">Cooperativa "7 de Febrero"</w:t>
      </w:r>
      <w:r w:rsidDel="00000000" w:rsidR="00000000" w:rsidRPr="00000000">
        <w:rPr>
          <w:rtl w:val="0"/>
        </w:rPr>
        <w:t xml:space="preserve"> para entender su modelo operativo y cuantificar el bucle económico.</w:t>
      </w:r>
    </w:p>
    <w:p w:rsidR="00000000" w:rsidDel="00000000" w:rsidP="00000000" w:rsidRDefault="00000000" w:rsidRPr="00000000" w14:paraId="00000108">
      <w:pPr>
        <w:numPr>
          <w:ilvl w:val="0"/>
          <w:numId w:val="4"/>
        </w:numPr>
        <w:ind w:left="720" w:hanging="360"/>
      </w:pPr>
      <w:r w:rsidDel="00000000" w:rsidR="00000000" w:rsidRPr="00000000">
        <w:rPr>
          <w:b w:val="1"/>
          <w:bCs w:val="1"/>
          <w:rtl w:val="0"/>
        </w:rPr>
        <w:t xml:space="preserve">Llamada con el fundador de Plasticoin</w:t>
      </w:r>
      <w:r w:rsidDel="00000000" w:rsidR="00000000" w:rsidRPr="00000000">
        <w:rPr>
          <w:rtl w:val="0"/>
        </w:rPr>
        <w:t xml:space="preserve"> (última semana de abril) para relevar aprendizajes del antecedente uruguayo.</w:t>
      </w:r>
    </w:p>
    <w:p w:rsidR="00000000" w:rsidDel="00000000" w:rsidP="00000000" w:rsidRDefault="00000000" w:rsidRPr="00000000" w14:paraId="00000109">
      <w:pPr>
        <w:numPr>
          <w:ilvl w:val="0"/>
          <w:numId w:val="4"/>
        </w:numPr>
        <w:ind w:left="720" w:hanging="360"/>
      </w:pPr>
      <w:r w:rsidDel="00000000" w:rsidR="00000000" w:rsidRPr="00000000">
        <w:rPr>
          <w:b w:val="1"/>
          <w:bCs w:val="1"/>
          <w:rtl w:val="0"/>
        </w:rPr>
        <w:t xml:space="preserve">Definición cuantitativa de tokenomics:</w:t>
      </w:r>
      <w:r w:rsidDel="00000000" w:rsidR="00000000" w:rsidRPr="00000000">
        <w:rPr>
          <w:rFonts w:ascii="Arial Unicode MS" w:cs="Arial Unicode MS" w:eastAsia="Arial Unicode MS" w:hAnsi="Arial Unicode MS"/>
          <w:rtl w:val="0"/>
        </w:rPr>
        <w:t xml:space="preserve"> tasa exacta de conversión kg de material → tokens ECO, por tipo de material.</w:t>
      </w:r>
    </w:p>
    <w:p w:rsidR="00000000" w:rsidDel="00000000" w:rsidP="00000000" w:rsidRDefault="00000000" w:rsidRPr="00000000" w14:paraId="0000010A">
      <w:pPr>
        <w:numPr>
          <w:ilvl w:val="0"/>
          <w:numId w:val="4"/>
        </w:numPr>
        <w:ind w:left="720" w:hanging="360"/>
      </w:pPr>
      <w:r w:rsidDel="00000000" w:rsidR="00000000" w:rsidRPr="00000000">
        <w:rPr>
          <w:b w:val="1"/>
          <w:bCs w:val="1"/>
          <w:rtl w:val="0"/>
        </w:rPr>
        <w:t xml:space="preserve">Validación de adhesión</w:t>
      </w:r>
      <w:r w:rsidDel="00000000" w:rsidR="00000000" w:rsidRPr="00000000">
        <w:rPr>
          <w:rtl w:val="0"/>
        </w:rPr>
        <w:t xml:space="preserve"> de al menos un supermercado piloto en Villa María.</w:t>
      </w:r>
    </w:p>
    <w:p w:rsidR="00000000" w:rsidDel="00000000" w:rsidP="00000000" w:rsidRDefault="00000000" w:rsidRPr="00000000" w14:paraId="0000010B">
      <w:pPr>
        <w:numPr>
          <w:ilvl w:val="0"/>
          <w:numId w:val="4"/>
        </w:numPr>
        <w:ind w:left="720" w:hanging="360"/>
      </w:pPr>
      <w:r w:rsidDel="00000000" w:rsidR="00000000" w:rsidRPr="00000000">
        <w:rPr>
          <w:b w:val="1"/>
          <w:bCs w:val="1"/>
          <w:rtl w:val="0"/>
        </w:rPr>
        <w:t xml:space="preserve">Ajuste del análisis de factibilidad económica</w:t>
      </w:r>
      <w:r w:rsidDel="00000000" w:rsidR="00000000" w:rsidRPr="00000000">
        <w:rPr>
          <w:rtl w:val="0"/>
        </w:rPr>
        <w:t xml:space="preserve"> con precios reales del material valorizado.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jc w:val="right"/>
      <w:rPr/>
    </w:pPr>
    <w:r w:rsidDel="00000000" w:rsidR="00000000" w:rsidRPr="00000000">
      <w:rPr>
        <w:rtl w:val="0"/>
      </w:rPr>
    </w:r>
  </w:p>
  <w:p w:rsidR="00000000" w:rsidDel="00000000" w:rsidP="00000000" w:rsidRDefault="00000000" w:rsidRPr="00000000" w14:paraId="00000110">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ind w:left="4320" w:firstLine="0"/>
      <w:rPr/>
    </w:pPr>
    <w:r w:rsidDel="00000000" w:rsidR="00000000" w:rsidRPr="00000000">
      <w:rPr>
        <w:rtl w:val="0"/>
      </w:rPr>
      <w:tab/>
      <w:tab/>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mailto:alvaropineda1017@gmail.com"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obiasfabian.023@gmail.co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rodri98alves@gmail.com" TargetMode="External"/><Relationship Id="rId8" Type="http://schemas.openxmlformats.org/officeDocument/2006/relationships/hyperlink" Target="mailto:mateomarti15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