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《鬼市当铺》美术设计规范 V0.2</w:t>
      </w:r>
    </w:p>
    <w:p>
      <w:pPr>
        <w:jc w:val="center"/>
      </w:pPr>
      <w:r>
        <w:t>面向：Codex / 未来美术 / 场景与UI制作协作</w:t>
        <w:br/>
        <w:t>版本定位：P0 Prototype 与 P1 Steam Demo 的美术启动包规范</w:t>
      </w:r>
    </w:p>
    <w:p>
      <w:pPr>
        <w:pStyle w:val="Heading1"/>
      </w:pPr>
      <w:r>
        <w:t>1. 文档目的与使用方式</w:t>
      </w:r>
    </w:p>
    <w:p>
      <w:r>
        <w:t>本规范用于统一《鬼市当铺》的视觉方向、主画面布局、色彩和材质逻辑、角色与鬼货表现规则，以及 P0 / P1 阶段的核心美术资产优先级。它与已生成的概念图一起构成“美术启动包”，可直接交给 Codex 与未来美术参考执行。</w:t>
      </w:r>
    </w:p>
    <w:p>
      <w:pPr>
        <w:pStyle w:val="ListBullet"/>
      </w:pPr>
      <w:r>
        <w:t>文档优先级：美术规范 &gt; 概念图局部细节 &gt; 临时讨论口头描述。</w:t>
      </w:r>
    </w:p>
    <w:p>
      <w:pPr>
        <w:pStyle w:val="ListBullet"/>
      </w:pPr>
      <w:r>
        <w:t>概念图作用：用于讨论方向，不用于逐像素临摹。</w:t>
      </w:r>
    </w:p>
    <w:p>
      <w:pPr>
        <w:pStyle w:val="ListBullet"/>
      </w:pPr>
      <w:r>
        <w:t>正式开发要求：功能可读性与布局清晰度优先于装饰性。</w:t>
      </w:r>
    </w:p>
    <w:p>
      <w:pPr>
        <w:pStyle w:val="Heading1"/>
      </w:pPr>
      <w:r>
        <w:t>2. 美术总方向</w:t>
      </w:r>
    </w:p>
    <w:p>
      <w:r>
        <w:t>项目视觉定位：民国上海现实底色 × 残旧印刷质感 × 民俗诡异感。</w:t>
      </w:r>
    </w:p>
    <w:p>
      <w:pPr>
        <w:pStyle w:val="ListBullet"/>
      </w:pPr>
      <w:r>
        <w:t>不是华丽国潮。</w:t>
      </w:r>
    </w:p>
    <w:p>
      <w:pPr>
        <w:pStyle w:val="ListBullet"/>
      </w:pPr>
      <w:r>
        <w:t>不是纯黑白电影恐怖。</w:t>
      </w:r>
    </w:p>
    <w:p>
      <w:pPr>
        <w:pStyle w:val="ListBullet"/>
      </w:pPr>
      <w:r>
        <w:t>不是漂亮乙女民国风。</w:t>
      </w:r>
    </w:p>
    <w:p>
      <w:pPr>
        <w:pStyle w:val="ListBullet"/>
      </w:pPr>
      <w:r>
        <w:t>不是廉价跳脸恐怖。</w:t>
      </w:r>
    </w:p>
    <w:p>
      <w:r>
        <w:t>一句话总结：不是“漂亮的民国”，而是“活过人的民国”；不是满屏恐怖，而是让熟悉的旧上海在细节上慢慢出错。</w:t>
      </w:r>
    </w:p>
    <w:p>
      <w:pPr>
        <w:pStyle w:val="Heading1"/>
      </w:pPr>
      <w:r>
        <w:t>3. 核心视觉原则</w:t>
      </w:r>
    </w:p>
    <w:p>
      <w:pPr>
        <w:pStyle w:val="ListBullet"/>
      </w:pPr>
      <w:r>
        <w:t>先真实，再诡异：正常世界必须可信。</w:t>
      </w:r>
    </w:p>
    <w:p>
      <w:pPr>
        <w:pStyle w:val="ListBullet"/>
      </w:pPr>
      <w:r>
        <w:t>异常感要克制：95%正常 + 5%不合理。</w:t>
      </w:r>
    </w:p>
    <w:p>
      <w:pPr>
        <w:pStyle w:val="ListBullet"/>
      </w:pPr>
      <w:r>
        <w:t>功能优先于装饰：美术服务于观察、判断、压力与氛围。</w:t>
      </w:r>
    </w:p>
    <w:p>
      <w:pPr>
        <w:pStyle w:val="ListBullet"/>
      </w:pPr>
      <w:r>
        <w:t>旧，不等于脏乱不可读：做旧可以有，但关键信息必须清晰。</w:t>
      </w:r>
    </w:p>
    <w:p>
      <w:pPr>
        <w:pStyle w:val="ListBullet"/>
      </w:pPr>
      <w:r>
        <w:t>同一空间持续变异：鬼市/禁时不应是“换地图”，而应是“这个地方不太对了”。</w:t>
      </w:r>
    </w:p>
    <w:p>
      <w:pPr>
        <w:pStyle w:val="Heading1"/>
      </w:pPr>
      <w:r>
        <w:t>4. 主画面布局规范（必须遵循）</w:t>
      </w:r>
    </w:p>
    <w:p>
      <w:r>
        <w:t>主画面需要基于用户提供的草图排版，采用固定柜台式2D视角。布局重点是让玩家先看到“顾客”，再看到“当前交易物”，最后看到“时间、金钱与操作信息”。</w:t>
      </w:r>
    </w:p>
    <w:p>
      <w:r>
        <w:t>布局参考图：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130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主画面布局参考_用户草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13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上方中央大区：顾客显示区（约画面高度 40%～48%）。用于顾客半身、对话气氛、门外/店内背景。</w:t>
      </w:r>
    </w:p>
    <w:p>
      <w:pPr>
        <w:pStyle w:val="ListBullet"/>
      </w:pPr>
      <w:r>
        <w:t>中部中央区：物品展示与鉴定区（约画面高度 24%～32%）。用于摆放当前典当物、放大观察、工具与局部细节。</w:t>
      </w:r>
    </w:p>
    <w:p>
      <w:pPr>
        <w:pStyle w:val="ListBullet"/>
      </w:pPr>
      <w:r>
        <w:t>底部整条信息带：时间、日期、现金、当票数量、风险提示等数值区（约高度 8%～12%）。</w:t>
      </w:r>
    </w:p>
    <w:p>
      <w:pPr>
        <w:pStyle w:val="ListBullet"/>
      </w:pPr>
      <w:r>
        <w:t>左右两侧区域：可作为留白、背景延展、次级信息面板或阶段性弹出区，但不能喧宾夺主。</w:t>
      </w:r>
    </w:p>
    <w:p>
      <w:pPr>
        <w:pStyle w:val="ListBullet"/>
      </w:pPr>
      <w:r>
        <w:t>交互逻辑：玩家视觉焦点应遵循“顾客 → 物品 → 操作/结果 → 底部状态”。</w:t>
      </w:r>
    </w:p>
    <w:p>
      <w:pPr>
        <w:pStyle w:val="ListBullet"/>
      </w:pPr>
      <w:r>
        <w:t>P0阶段可以先做“中央主布局 + 底栏 + 简单弹出面板”，避免一开始把左右两侧塞满功能。</w:t>
      </w:r>
    </w:p>
    <w:p>
      <w:pPr>
        <w:pStyle w:val="Heading1"/>
      </w:pPr>
      <w:r>
        <w:t>5. 场景三态规范</w:t>
      </w:r>
    </w:p>
    <w:p>
      <w:pPr>
        <w:pStyle w:val="Heading2"/>
      </w:pPr>
      <w:r>
        <w:t>5.1 正常营业态</w:t>
      </w:r>
    </w:p>
    <w:p>
      <w:r>
        <w:t>暖黄灯光、旧木、纸张和金属细节清晰；整体压抑但正常。应让玩家明确“这是当铺，是做生意的地方”。</w:t>
      </w:r>
    </w:p>
    <w:p>
      <w:pPr>
        <w:pStyle w:val="Heading2"/>
      </w:pPr>
      <w:r>
        <w:t>5.2 深夜异常态</w:t>
      </w:r>
    </w:p>
    <w:p>
      <w:r>
        <w:t>同一空间下局部更暗，阴影加深，香烟、镜面或角落出现细微不合理变化；玩家开始感到不安。</w:t>
      </w:r>
    </w:p>
    <w:p>
      <w:pPr>
        <w:pStyle w:val="Heading2"/>
      </w:pPr>
      <w:r>
        <w:t>5.3 禁时 / 鬼市态</w:t>
      </w:r>
    </w:p>
    <w:p>
      <w:r>
        <w:t>仍是同一柜台，但门外街景变得不真实、红灯更醒目、冷白/冷青侵入，熟悉的物件似乎“活着”。不要切换成完全不同地图。</w:t>
      </w:r>
    </w:p>
    <w:p>
      <w:pPr>
        <w:pStyle w:val="Heading1"/>
      </w:pPr>
      <w:r>
        <w:t>6. 色彩与材质规范</w:t>
      </w:r>
    </w:p>
    <w:p>
      <w:r>
        <w:t>常态营业主色：旧木褐、烟灰、墨黑、发黄纸色、暗青灰、氧化铜绿。整体低饱和。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用途</w:t>
            </w:r>
          </w:p>
        </w:tc>
        <w:tc>
          <w:tcPr>
            <w:tcW w:type="dxa" w:w="2436"/>
          </w:tcPr>
          <w:p>
            <w:r>
              <w:t>建议色相</w:t>
            </w:r>
          </w:p>
        </w:tc>
        <w:tc>
          <w:tcPr>
            <w:tcW w:type="dxa" w:w="2436"/>
          </w:tcPr>
          <w:p>
            <w:r>
              <w:t>参考HEX</w:t>
            </w:r>
          </w:p>
        </w:tc>
        <w:tc>
          <w:tcPr>
            <w:tcW w:type="dxa" w:w="2436"/>
          </w:tcPr>
          <w:p>
            <w:r>
              <w:t>说明</w:t>
            </w:r>
          </w:p>
        </w:tc>
      </w:tr>
      <w:tr>
        <w:tc>
          <w:tcPr>
            <w:tcW w:type="dxa" w:w="2436"/>
          </w:tcPr>
          <w:p>
            <w:r>
              <w:t>旧木/柜台</w:t>
            </w:r>
          </w:p>
        </w:tc>
        <w:tc>
          <w:tcPr>
            <w:tcW w:type="dxa" w:w="2436"/>
          </w:tcPr>
          <w:p>
            <w:r>
              <w:t>暗褐 / 茶褐</w:t>
            </w:r>
          </w:p>
        </w:tc>
        <w:tc>
          <w:tcPr>
            <w:tcW w:type="dxa" w:w="2436"/>
          </w:tcPr>
          <w:p>
            <w:r>
              <w:t>#5E4635</w:t>
            </w:r>
          </w:p>
        </w:tc>
        <w:tc>
          <w:tcPr>
            <w:tcW w:type="dxa" w:w="2436"/>
          </w:tcPr>
          <w:p>
            <w:r>
              <w:t>主场景基础色</w:t>
            </w:r>
          </w:p>
        </w:tc>
      </w:tr>
      <w:tr>
        <w:tc>
          <w:tcPr>
            <w:tcW w:type="dxa" w:w="2436"/>
          </w:tcPr>
          <w:p>
            <w:r>
              <w:t>纸张/账本</w:t>
            </w:r>
          </w:p>
        </w:tc>
        <w:tc>
          <w:tcPr>
            <w:tcW w:type="dxa" w:w="2436"/>
          </w:tcPr>
          <w:p>
            <w:r>
              <w:t>泛黄纸色</w:t>
            </w:r>
          </w:p>
        </w:tc>
        <w:tc>
          <w:tcPr>
            <w:tcW w:type="dxa" w:w="2436"/>
          </w:tcPr>
          <w:p>
            <w:r>
              <w:t>#D8C7A2</w:t>
            </w:r>
          </w:p>
        </w:tc>
        <w:tc>
          <w:tcPr>
            <w:tcW w:type="dxa" w:w="2436"/>
          </w:tcPr>
          <w:p>
            <w:r>
              <w:t>UI与账本常用底色</w:t>
            </w:r>
          </w:p>
        </w:tc>
      </w:tr>
      <w:tr>
        <w:tc>
          <w:tcPr>
            <w:tcW w:type="dxa" w:w="2436"/>
          </w:tcPr>
          <w:p>
            <w:r>
              <w:t>烟灰/背景</w:t>
            </w:r>
          </w:p>
        </w:tc>
        <w:tc>
          <w:tcPr>
            <w:tcW w:type="dxa" w:w="2436"/>
          </w:tcPr>
          <w:p>
            <w:r>
              <w:t>冷灰 / 炭灰</w:t>
            </w:r>
          </w:p>
        </w:tc>
        <w:tc>
          <w:tcPr>
            <w:tcW w:type="dxa" w:w="2436"/>
          </w:tcPr>
          <w:p>
            <w:r>
              <w:t>#4A4F55</w:t>
            </w:r>
          </w:p>
        </w:tc>
        <w:tc>
          <w:tcPr>
            <w:tcW w:type="dxa" w:w="2436"/>
          </w:tcPr>
          <w:p>
            <w:r>
              <w:t>压低饱和度</w:t>
            </w:r>
          </w:p>
        </w:tc>
      </w:tr>
      <w:tr>
        <w:tc>
          <w:tcPr>
            <w:tcW w:type="dxa" w:w="2436"/>
          </w:tcPr>
          <w:p>
            <w:r>
              <w:t>氧化铜</w:t>
            </w:r>
          </w:p>
        </w:tc>
        <w:tc>
          <w:tcPr>
            <w:tcW w:type="dxa" w:w="2436"/>
          </w:tcPr>
          <w:p>
            <w:r>
              <w:t>暗铜绿</w:t>
            </w:r>
          </w:p>
        </w:tc>
        <w:tc>
          <w:tcPr>
            <w:tcW w:type="dxa" w:w="2436"/>
          </w:tcPr>
          <w:p>
            <w:r>
              <w:t>#60756A</w:t>
            </w:r>
          </w:p>
        </w:tc>
        <w:tc>
          <w:tcPr>
            <w:tcW w:type="dxa" w:w="2436"/>
          </w:tcPr>
          <w:p>
            <w:r>
              <w:t>金属老化点缀</w:t>
            </w:r>
          </w:p>
        </w:tc>
      </w:tr>
      <w:tr>
        <w:tc>
          <w:tcPr>
            <w:tcW w:type="dxa" w:w="2436"/>
          </w:tcPr>
          <w:p>
            <w:r>
              <w:t>强调红</w:t>
            </w:r>
          </w:p>
        </w:tc>
        <w:tc>
          <w:tcPr>
            <w:tcW w:type="dxa" w:w="2436"/>
          </w:tcPr>
          <w:p>
            <w:r>
              <w:t>旧印泥红 / 暗红</w:t>
            </w:r>
          </w:p>
        </w:tc>
        <w:tc>
          <w:tcPr>
            <w:tcW w:type="dxa" w:w="2436"/>
          </w:tcPr>
          <w:p>
            <w:r>
              <w:t>#8D2A24</w:t>
            </w:r>
          </w:p>
        </w:tc>
        <w:tc>
          <w:tcPr>
            <w:tcW w:type="dxa" w:w="2436"/>
          </w:tcPr>
          <w:p>
            <w:r>
              <w:t>当票、印章、红灯、红嫁衣</w:t>
            </w:r>
          </w:p>
        </w:tc>
      </w:tr>
      <w:tr>
        <w:tc>
          <w:tcPr>
            <w:tcW w:type="dxa" w:w="2436"/>
          </w:tcPr>
          <w:p>
            <w:r>
              <w:t>异常冷光</w:t>
            </w:r>
          </w:p>
        </w:tc>
        <w:tc>
          <w:tcPr>
            <w:tcW w:type="dxa" w:w="2436"/>
          </w:tcPr>
          <w:p>
            <w:r>
              <w:t>冷青白</w:t>
            </w:r>
          </w:p>
        </w:tc>
        <w:tc>
          <w:tcPr>
            <w:tcW w:type="dxa" w:w="2436"/>
          </w:tcPr>
          <w:p>
            <w:r>
              <w:t>#AFC4C9</w:t>
            </w:r>
          </w:p>
        </w:tc>
        <w:tc>
          <w:tcPr>
            <w:tcW w:type="dxa" w:w="2436"/>
          </w:tcPr>
          <w:p>
            <w:r>
              <w:t>命灯异常、镜面、禁时气氛</w:t>
            </w:r>
          </w:p>
        </w:tc>
      </w:tr>
    </w:tbl>
    <w:p>
      <w:r>
        <w:t>红色是稀缺强调色，平时不可滥用；冷青白应主要用于异常状态，以形成心理反差。</w:t>
      </w:r>
    </w:p>
    <w:p>
      <w:pPr>
        <w:pStyle w:val="Heading1"/>
      </w:pPr>
      <w:r>
        <w:t>7. 材质语言</w:t>
      </w:r>
    </w:p>
    <w:p>
      <w:pPr>
        <w:pStyle w:val="ListBullet"/>
      </w:pPr>
      <w:r>
        <w:t>木：有磨损、开裂、被手摸亮的边缘。</w:t>
      </w:r>
    </w:p>
    <w:p>
      <w:pPr>
        <w:pStyle w:val="ListBullet"/>
      </w:pPr>
      <w:r>
        <w:t>纸：卷边、纤维感、微黄、墨色略不均。</w:t>
      </w:r>
    </w:p>
    <w:p>
      <w:pPr>
        <w:pStyle w:val="ListBullet"/>
      </w:pPr>
      <w:r>
        <w:t>铜/铁：氧化、斑驳、长期使用痕迹。</w:t>
      </w:r>
    </w:p>
    <w:p>
      <w:pPr>
        <w:pStyle w:val="ListBullet"/>
      </w:pPr>
      <w:r>
        <w:t>布：略旧、折痕、偶有潮气感。</w:t>
      </w:r>
    </w:p>
    <w:p>
      <w:pPr>
        <w:pStyle w:val="ListBullet"/>
      </w:pPr>
      <w:r>
        <w:t>印刷质感：轻微网点、套色偏移、旧海报感，但不能影响可读性。</w:t>
      </w:r>
    </w:p>
    <w:p>
      <w:pPr>
        <w:pStyle w:val="Heading1"/>
      </w:pPr>
      <w:r>
        <w:t>8. 人物美术规范</w:t>
      </w:r>
    </w:p>
    <w:p>
      <w:r>
        <w:t>总体方向：半写实手绘，不追求完美美型，不做偶像脸。人物应该有年龄感、职业感、阶层差异和生活痕迹。</w:t>
      </w:r>
    </w:p>
    <w:p>
      <w:pPr>
        <w:pStyle w:val="ListBullet"/>
      </w:pPr>
      <w:r>
        <w:t>普通顾客：一眼看出身份和经济状况，如赌徒、码头工人、商人、老妇。</w:t>
      </w:r>
    </w:p>
    <w:p>
      <w:pPr>
        <w:pStyle w:val="ListBullet"/>
      </w:pPr>
      <w:r>
        <w:t>关键NPC：辨识度更高，拥有独特轮廓特征、服饰重点与气质标签。</w:t>
      </w:r>
    </w:p>
    <w:p>
      <w:pPr>
        <w:pStyle w:val="ListBullet"/>
      </w:pPr>
      <w:r>
        <w:t>阴客/诡客：不是简单鬼脸，而是“正常里有错误”，例如影子不对、湿痕不对、眨眼频率不对、纸扎感。</w:t>
      </w:r>
    </w:p>
    <w:p>
      <w:pPr>
        <w:pStyle w:val="Heading2"/>
      </w:pPr>
      <w:r>
        <w:t>8.1 关键角色基准</w:t>
      </w:r>
    </w:p>
    <w:p>
      <w:pPr>
        <w:pStyle w:val="ListBullet"/>
      </w:pPr>
      <w:r>
        <w:t>姚曼卿：民国气质、端正、克制、有教养感，不是柔弱花瓶；可微借月份牌式细腻度，但需降低“广告美人”感。</w:t>
      </w:r>
    </w:p>
    <w:p>
      <w:pPr>
        <w:pStyle w:val="ListBullet"/>
      </w:pPr>
      <w:r>
        <w:t>阿七：表面更接近正常小女孩，带轻微旧时代感和不合时宜的安静；不要过度恐怖脸化。</w:t>
      </w:r>
    </w:p>
    <w:p>
      <w:pPr>
        <w:pStyle w:val="Heading1"/>
      </w:pPr>
      <w:r>
        <w:t>9. 物品与鬼货规范</w:t>
      </w:r>
    </w:p>
    <w:p>
      <w:pPr>
        <w:pStyle w:val="ListBullet"/>
      </w:pPr>
      <w:r>
        <w:t>普通物品要像“真实可交易物”，轮廓清晰、材质明确，便于承载真伪瑕疵。</w:t>
      </w:r>
    </w:p>
    <w:p>
      <w:pPr>
        <w:pStyle w:val="ListBullet"/>
      </w:pPr>
      <w:r>
        <w:t>鬼货第一眼应像正常旧物，不要一上来就大特效。</w:t>
      </w:r>
    </w:p>
    <w:p>
      <w:pPr>
        <w:pStyle w:val="ListBullet"/>
      </w:pPr>
      <w:r>
        <w:t>关键鬼货建议至少准备：普通展示图、放大观察图、异常状态图、夜间状态图。</w:t>
      </w:r>
    </w:p>
    <w:p>
      <w:pPr>
        <w:pStyle w:val="ListBullet"/>
      </w:pPr>
      <w:r>
        <w:t>泣血铜镜的核心是“越看越不对”，而非第一眼就吓人。</w:t>
      </w:r>
    </w:p>
    <w:p>
      <w:pPr>
        <w:pStyle w:val="Heading1"/>
      </w:pPr>
      <w:r>
        <w:t>10. UI与排版规范</w:t>
      </w:r>
    </w:p>
    <w:p>
      <w:pPr>
        <w:pStyle w:val="ListBullet"/>
      </w:pPr>
      <w:r>
        <w:t>操作逻辑现代，视觉外观民国。</w:t>
      </w:r>
    </w:p>
    <w:p>
      <w:pPr>
        <w:pStyle w:val="ListBullet"/>
      </w:pPr>
      <w:r>
        <w:t>一级信息必须最清晰：时间、现金、顾客、当前物品、核心操作按钮。</w:t>
      </w:r>
    </w:p>
    <w:p>
      <w:pPr>
        <w:pStyle w:val="ListBullet"/>
      </w:pPr>
      <w:r>
        <w:t>二级信息可通过翻页/抽屉展开：账本、库存、传闻、当票。</w:t>
      </w:r>
    </w:p>
    <w:p>
      <w:pPr>
        <w:pStyle w:val="ListBullet"/>
      </w:pPr>
      <w:r>
        <w:t>三级信息用于气氛辅助：印章动画、纸张纹理、墨迹、轻烟。</w:t>
      </w:r>
    </w:p>
    <w:p>
      <w:pPr>
        <w:pStyle w:val="ListBullet"/>
      </w:pPr>
      <w:r>
        <w:t>不要全界面使用毛笔字；正文需高可读性。</w:t>
      </w:r>
    </w:p>
    <w:p>
      <w:pPr>
        <w:pStyle w:val="ListBullet"/>
      </w:pPr>
      <w:r>
        <w:t>底部数值栏必须清楚、稳定、可快速阅读。</w:t>
      </w:r>
    </w:p>
    <w:p>
      <w:pPr>
        <w:pStyle w:val="Heading1"/>
      </w:pPr>
      <w:r>
        <w:t>11. 恐怖与异常表现规则</w:t>
      </w:r>
    </w:p>
    <w:p>
      <w:pPr>
        <w:pStyle w:val="ListBullet"/>
      </w:pPr>
      <w:r>
        <w:t>一张画面中常规建议 0 个明显异常；可疑场景 1 个；强异常场景 2 个；重大事件不超过 3 个。</w:t>
      </w:r>
    </w:p>
    <w:p>
      <w:pPr>
        <w:pStyle w:val="ListBullet"/>
      </w:pPr>
      <w:r>
        <w:t>优先使用“错误、克制、延迟、暗示、确认”的渐进逻辑。</w:t>
      </w:r>
    </w:p>
    <w:p>
      <w:pPr>
        <w:pStyle w:val="ListBullet"/>
      </w:pPr>
      <w:r>
        <w:t>重点异常母题：镜、烟、影子、红纸签、香灰、水痕、双焰、纸人、门外灯火、柜内声响。</w:t>
      </w:r>
    </w:p>
    <w:p>
      <w:pPr>
        <w:pStyle w:val="ListBullet"/>
      </w:pPr>
      <w:r>
        <w:t>避免廉价惊吓、过量血浆、泛滥黑气与贴脸鬼脸。</w:t>
      </w:r>
    </w:p>
    <w:p>
      <w:pPr>
        <w:pStyle w:val="Heading1"/>
      </w:pPr>
      <w:r>
        <w:t>12. 两个核心视觉系统</w:t>
      </w:r>
    </w:p>
    <w:p>
      <w:pPr>
        <w:pStyle w:val="Heading2"/>
      </w:pPr>
      <w:r>
        <w:t>12.1 财神香看店</w:t>
      </w:r>
    </w:p>
    <w:p>
      <w:pPr>
        <w:pStyle w:val="ListBullet"/>
      </w:pPr>
      <w:r>
        <w:t>正常：香直、灰自然、烟稳定。</w:t>
      </w:r>
    </w:p>
    <w:p>
      <w:pPr>
        <w:pStyle w:val="ListBullet"/>
      </w:pPr>
      <w:r>
        <w:t>轻度异常：香灰弯、烟走向不对、一根烧得更快。</w:t>
      </w:r>
    </w:p>
    <w:p>
      <w:pPr>
        <w:pStyle w:val="ListBullet"/>
      </w:pPr>
      <w:r>
        <w:t>中度异常：忽明忽暗、香灰不断却不落。</w:t>
      </w:r>
    </w:p>
    <w:p>
      <w:pPr>
        <w:pStyle w:val="ListBullet"/>
      </w:pPr>
      <w:r>
        <w:t>高度异常：未点亦冒烟、熄而复燃、灰形不祥。</w:t>
      </w:r>
    </w:p>
    <w:p>
      <w:pPr>
        <w:pStyle w:val="Heading2"/>
      </w:pPr>
      <w:r>
        <w:t>12.2 命灯看人</w:t>
      </w:r>
    </w:p>
    <w:p>
      <w:pPr>
        <w:pStyle w:val="ListBullet"/>
      </w:pPr>
      <w:r>
        <w:t>正常：火苗稳定温暖。</w:t>
      </w:r>
    </w:p>
    <w:p>
      <w:pPr>
        <w:pStyle w:val="ListBullet"/>
      </w:pPr>
      <w:r>
        <w:t>缠身：火苗偏弱、偏斜、偏色。</w:t>
      </w:r>
    </w:p>
    <w:p>
      <w:pPr>
        <w:pStyle w:val="ListBullet"/>
      </w:pPr>
      <w:r>
        <w:t>危险：火芯分裂、火焰发青、灯罩内壁有异痕。</w:t>
      </w:r>
    </w:p>
    <w:p>
      <w:pPr>
        <w:pStyle w:val="ListBullet"/>
      </w:pPr>
      <w:r>
        <w:t>并蒂红契：双焰，一亮一弱，看似浪漫，实则不安。</w:t>
      </w:r>
    </w:p>
    <w:p>
      <w:pPr>
        <w:pStyle w:val="Heading1"/>
      </w:pPr>
      <w:r>
        <w:t>13. P0 / P1 美术资产优先级</w:t>
      </w:r>
    </w:p>
    <w:p>
      <w:pPr>
        <w:pStyle w:val="Heading2"/>
      </w:pPr>
      <w:r>
        <w:t>13.1 P0 内部 Prototype 必做</w:t>
      </w:r>
    </w:p>
    <w:p>
      <w:pPr>
        <w:pStyle w:val="ListBullet"/>
      </w:pPr>
      <w:r>
        <w:t>当铺主柜台：正常态 1 套，轻异常态 1 套。</w:t>
      </w:r>
    </w:p>
    <w:p>
      <w:pPr>
        <w:pStyle w:val="ListBullet"/>
      </w:pPr>
      <w:r>
        <w:t>普通顾客：至少 4 种半身立绘或占位角色。</w:t>
      </w:r>
    </w:p>
    <w:p>
      <w:pPr>
        <w:pStyle w:val="ListBullet"/>
      </w:pPr>
      <w:r>
        <w:t>关键NPC：沈怀川 1 套。</w:t>
      </w:r>
    </w:p>
    <w:p>
      <w:pPr>
        <w:pStyle w:val="ListBullet"/>
      </w:pPr>
      <w:r>
        <w:t>普通物品：8 件。</w:t>
      </w:r>
    </w:p>
    <w:p>
      <w:pPr>
        <w:pStyle w:val="ListBullet"/>
      </w:pPr>
      <w:r>
        <w:t>鬼货：泣血铜镜 1 件，至少 2～3 个状态。</w:t>
      </w:r>
    </w:p>
    <w:p>
      <w:pPr>
        <w:pStyle w:val="ListBullet"/>
      </w:pPr>
      <w:r>
        <w:t>基础UI：柜台UI、账本UI、交易UI、日结UI。</w:t>
      </w:r>
    </w:p>
    <w:p>
      <w:pPr>
        <w:pStyle w:val="Heading2"/>
      </w:pPr>
      <w:r>
        <w:t>13.2 P1 Steam Demo 增补</w:t>
      </w:r>
    </w:p>
    <w:p>
      <w:pPr>
        <w:pStyle w:val="ListBullet"/>
      </w:pPr>
      <w:r>
        <w:t>柜台三态完整化：正常 / 深夜异常 / 禁时鬼市。</w:t>
      </w:r>
    </w:p>
    <w:p>
      <w:pPr>
        <w:pStyle w:val="ListBullet"/>
      </w:pPr>
      <w:r>
        <w:t>普通顾客扩展至 8～12 种。</w:t>
      </w:r>
    </w:p>
    <w:p>
      <w:pPr>
        <w:pStyle w:val="ListBullet"/>
      </w:pPr>
      <w:r>
        <w:t>关键NPC 扩展至 3～5 位。</w:t>
      </w:r>
    </w:p>
    <w:p>
      <w:pPr>
        <w:pStyle w:val="ListBullet"/>
      </w:pPr>
      <w:r>
        <w:t>普通物品扩展至 15～20 件。</w:t>
      </w:r>
    </w:p>
    <w:p>
      <w:pPr>
        <w:pStyle w:val="ListBullet"/>
      </w:pPr>
      <w:r>
        <w:t>鬼货扩展至 3 件。</w:t>
      </w:r>
    </w:p>
    <w:p>
      <w:pPr>
        <w:pStyle w:val="ListBullet"/>
      </w:pPr>
      <w:r>
        <w:t>阿七出场视觉钩子、鬼市前导气氛。</w:t>
      </w:r>
    </w:p>
    <w:p>
      <w:pPr>
        <w:pStyle w:val="Heading1"/>
      </w:pPr>
      <w:r>
        <w:t>14. 明确不做什么</w:t>
      </w:r>
    </w:p>
    <w:p>
      <w:pPr>
        <w:pStyle w:val="ListBullet"/>
      </w:pPr>
      <w:r>
        <w:t>过分精致唯美国风。</w:t>
      </w:r>
    </w:p>
    <w:p>
      <w:pPr>
        <w:pStyle w:val="ListBullet"/>
      </w:pPr>
      <w:r>
        <w:t>浓烈赛博霓虹上海风。</w:t>
      </w:r>
    </w:p>
    <w:p>
      <w:pPr>
        <w:pStyle w:val="ListBullet"/>
      </w:pPr>
      <w:r>
        <w:t>全黑白电影风。</w:t>
      </w:r>
    </w:p>
    <w:p>
      <w:pPr>
        <w:pStyle w:val="ListBullet"/>
      </w:pPr>
      <w:r>
        <w:t>低幼卡通风。</w:t>
      </w:r>
    </w:p>
    <w:p>
      <w:pPr>
        <w:pStyle w:val="ListBullet"/>
      </w:pPr>
      <w:r>
        <w:t>大量廉价跳脸恐怖。</w:t>
      </w:r>
    </w:p>
    <w:p>
      <w:pPr>
        <w:pStyle w:val="ListBullet"/>
      </w:pPr>
      <w:r>
        <w:t>所有NPC都长得很美。</w:t>
      </w:r>
    </w:p>
    <w:p>
      <w:pPr>
        <w:pStyle w:val="ListBullet"/>
      </w:pPr>
      <w:r>
        <w:t>UI 复古到难用。</w:t>
      </w:r>
    </w:p>
    <w:p>
      <w:pPr>
        <w:pStyle w:val="ListBullet"/>
      </w:pPr>
      <w:r>
        <w:t>物件全部冒黑气的低级鬼货表现。</w:t>
      </w:r>
    </w:p>
    <w:p>
      <w:pPr>
        <w:pStyle w:val="Heading1"/>
      </w:pPr>
      <w:r>
        <w:t>15. 概念图附件说明（方案B）</w:t>
      </w:r>
    </w:p>
    <w:p>
      <w:r>
        <w:t>下列概念图用于辅助理解方案A的规范内容。正式实现时，布局和规范优先，概念图用于方向参考。</w:t>
      </w:r>
    </w:p>
    <w:p>
      <w:r>
        <w:t>01_主画面_正常营业_概念图.png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78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主画面_正常营业_概念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7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02_主画面_深夜异常_概念图.png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78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主画面_深夜异常_概念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7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03_主画面_禁时鬼市_概念图.png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78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主画面_禁时鬼市_概念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7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04_关键鬼货_泣血铜镜_概念图.png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关键鬼货_泣血铜镜_概念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05_关键角色_姚曼卿_概念图.png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5226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关键角色_姚曼卿_概念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522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06_关键角色_阿七_概念图.png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5226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关键角色_阿七_概念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522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16. 交付建议</w:t>
      </w:r>
    </w:p>
    <w:p>
      <w:pPr>
        <w:pStyle w:val="ListBullet"/>
      </w:pPr>
      <w:r>
        <w:t>Codex 第一阶段应先做低保真可运行主画面原型，再逐步替换为正式资源。</w:t>
      </w:r>
    </w:p>
    <w:p>
      <w:pPr>
        <w:pStyle w:val="ListBullet"/>
      </w:pPr>
      <w:r>
        <w:t>未来美术制作建议先做：主画面三态 → 普通顾客模板 → 关键NPC → 普通物品 → 鬼货。</w:t>
      </w:r>
    </w:p>
    <w:p>
      <w:pPr>
        <w:pStyle w:val="ListBullet"/>
      </w:pPr>
      <w:r>
        <w:t>所有新资源应回到本规范检查：是否符合年代感、可读性、异常预算与“同一空间持续变异”的原则。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