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</w:rPr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Acceptance tests </w:t>
        <w:br w:type="textWrapping"/>
        <w:t xml:space="preserve">“Acme Rookies v1.0”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951"/>
        <w:gridCol w:w="7291"/>
        <w:tblGridChange w:id="0">
          <w:tblGrid>
            <w:gridCol w:w="1951"/>
            <w:gridCol w:w="7291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G92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 De la Flor Bonilla, Álvaro; Ferrete Molle, José Antonio; Fernández Benjumea, Carmen; Sánchez Hipona, Antonio; Salvat Pérez, Antonio</w:t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Indexing data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designers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Aceptación RF-13 de Acme-Rookies(SPONSORSHIP)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AR-13.1: Manage his or her sponsorships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209ne3gtt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AR-13.1.1: Listing sponsorships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_a3209ne3gtt9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yum472id4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AR-13.1.2: Creating sponsorships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_w8yum472id4o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rxj7g6rrd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AR-13.1.3: Showing sponsorship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_z9rxj7g6rrda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agqgbea5r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AR-13.1.4: Updating sponsorship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_k2agqgbea5ra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udegnaqzv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AR-13.1.5: Deleting sponsorship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_7cudegnaqzv9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Manage his or her sponsorships</w:t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manejar sus patrocinios. Esto es: listarlos, mostrarlos, editarlos, crearlos y borrarlos.</w:t>
      </w:r>
    </w:p>
    <w:p w:rsidR="00000000" w:rsidDel="00000000" w:rsidP="00000000" w:rsidRDefault="00000000" w:rsidRPr="00000000" w14:paraId="00000025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a3209ne3gtt9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AR-13.1.1: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Listing sponsorships</w:t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27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listar sus patrocinios.</w:t>
      </w:r>
    </w:p>
    <w:p w:rsidR="00000000" w:rsidDel="00000000" w:rsidP="00000000" w:rsidRDefault="00000000" w:rsidRPr="00000000" w14:paraId="00000028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p00x0keazif2" w:id="3"/>
      <w:bookmarkEnd w:id="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proveedor (provider/provider).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tbaig4mmfnny" w:id="4"/>
      <w:bookmarkEnd w:id="4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Provider &gt; Sponsorship’s List;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5734050" cy="106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kmnrwg7r3gyj" w:id="5"/>
      <w:bookmarkEnd w:id="5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Mostrar el listado de patrocinios.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876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w8yum472id4o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AR-13.1.2: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Creating sponsorships</w:t>
      </w:r>
    </w:p>
    <w:p w:rsidR="00000000" w:rsidDel="00000000" w:rsidP="00000000" w:rsidRDefault="00000000" w:rsidRPr="00000000" w14:paraId="0000003D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3E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u21k28jgw4op" w:id="7"/>
      <w:bookmarkEnd w:id="7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crear un patrocinio.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m5tpaj58k17l" w:id="8"/>
      <w:bookmarkEnd w:id="8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proveedor (provider/provider). </w:t>
      </w: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3qg75wjq5nt4" w:id="9"/>
      <w:bookmarkEnd w:id="9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Provider &gt; Sponsorship’s List;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Creación: Create (botón);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5734050" cy="1651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fbab6efx5adw" w:id="10"/>
      <w:bookmarkEnd w:id="10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Mandar el formulario vacío.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3081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9rugnxotbbr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Mandar el formulario con datos incorrectos.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28270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Mandar el formulario con datos correctos.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3081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botón “Submit”&gt;&gt;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5621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Volver usando el botón “Cancel”.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3081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botón “Cancel”&gt;&gt;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876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ixhlkuc7ey0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q4um1vgclpw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z9rxj7g6rrda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AR-13.1.3: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Showing sponsorship</w:t>
      </w:r>
    </w:p>
    <w:p w:rsidR="00000000" w:rsidDel="00000000" w:rsidP="00000000" w:rsidRDefault="00000000" w:rsidRPr="00000000" w14:paraId="0000008F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90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1e9qhd38ubsw" w:id="15"/>
      <w:bookmarkEnd w:id="15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mostrar cualquiera de sus patrocinios.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86dkp893j0oq" w:id="16"/>
      <w:bookmarkEnd w:id="16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proveedor (provider/provider).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n30njtqur3of" w:id="17"/>
      <w:bookmarkEnd w:id="17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Provider &gt; Sponsorship’s List;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Mostrado: Show (enlace);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5734050" cy="34417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awjt85eqp3gf" w:id="18"/>
      <w:bookmarkEnd w:id="18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7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Mostrar los datos del patrocinio indicado.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844800"/>
                  <wp:effectExtent b="0" l="0" r="0" t="0"/>
                  <wp:docPr id="2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oriwmar5uzt9" w:id="19"/>
      <w:bookmarkEnd w:id="19"/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Usar el botón “Back” para volver al listado.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5621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wr2xmugxjf5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k2agqgbea5ra" w:id="21"/>
      <w:bookmarkEnd w:id="2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AR-13.1.4: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Updating sponsorship</w:t>
      </w:r>
    </w:p>
    <w:p w:rsidR="00000000" w:rsidDel="00000000" w:rsidP="00000000" w:rsidRDefault="00000000" w:rsidRPr="00000000" w14:paraId="000000B9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BA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bauvyjqcgqlf" w:id="22"/>
      <w:bookmarkEnd w:id="22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modificar cualquiera de sus patrocinios.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f8a1sdwg0cs" w:id="23"/>
      <w:bookmarkEnd w:id="2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C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proveedor (provider/provider).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dbk73jytlaom" w:id="24"/>
      <w:bookmarkEnd w:id="24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Provider &gt; Sponsorship’s List;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Mostrado: Show (enlace);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Edición: Edit (botón);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6007216" cy="165258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216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25a7aywxa6xh" w:id="25"/>
      <w:bookmarkEnd w:id="25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Modificar un campo. Ten en cuenta que deben cumplirse las mismas restricciones que en la creación.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2573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botón “Submit”&gt;&gt;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5621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enlace “Show”&gt;&gt;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8448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2lsl4cozdtdh" w:id="26"/>
      <w:bookmarkEnd w:id="26"/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Inyectar un script al editar.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473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t4f1u0cysqdu" w:id="27"/>
      <w:bookmarkEnd w:id="27"/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Cancelar una edición (pulsar botón “Cancel”)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25730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botón “Cancel”&gt;&gt;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56210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7cudegnaqzv9" w:id="28"/>
      <w:bookmarkEnd w:id="28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AR-13.1.5: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Deleting sponsorship</w:t>
      </w:r>
    </w:p>
    <w:p w:rsidR="00000000" w:rsidDel="00000000" w:rsidP="00000000" w:rsidRDefault="00000000" w:rsidRPr="00000000" w14:paraId="0000010D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10E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4utgdnsrgm7w" w:id="29"/>
      <w:bookmarkEnd w:id="29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“PROVIDER” debe ser capaz de eliminar cualquiera de sus patrocinios. </w:t>
      </w:r>
      <w:r w:rsidDel="00000000" w:rsidR="00000000" w:rsidRPr="00000000">
        <w:rPr>
          <w:rFonts w:ascii="Courier New" w:cs="Courier New" w:eastAsia="Courier New" w:hAnsi="Courier New"/>
          <w:b w:val="1"/>
          <w:color w:val="4a452a"/>
          <w:sz w:val="22"/>
          <w:szCs w:val="22"/>
          <w:rtl w:val="0"/>
        </w:rPr>
        <w:t xml:space="preserve">NO SE REQUIERE CONFIRMACIÓN PARA REALIZAR ESTA OPERACIÓN. </w:t>
      </w:r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Una vez se pulse el botón, se eliminará.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k7rwhflchl4c" w:id="30"/>
      <w:bookmarkEnd w:id="30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10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proveedor (provider/provider).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ol2li5fq1y7h" w:id="31"/>
      <w:bookmarkEnd w:id="31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Provider &gt; Sponsorship’s List;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Mostrado: Show (enlace);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Borrado: Delete (botón);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4743450" cy="87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6u6gaycayk2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uj69reyofui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xztr5qck1pi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fmnczytwpwp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355py49x82s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ih15i8k27mn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3l1e8xdonq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jln40tmj5un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g24m5zfgx54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hvowy3gljcb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lb42fwgnn0b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q3hrkzjdng73" w:id="43"/>
      <w:bookmarkEnd w:id="4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12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Borrar el patrocinio creado para estos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8448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botón “Delete”&gt;&gt;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876300"/>
                  <wp:effectExtent b="0" l="0" r="0" t="0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ou8o4lhgjve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u0gki81dgff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mo4gipqn3hlz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1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1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