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Aguas del Norte, S.L.</w:t>
        <w:br/>
      </w:r>
      <w:r>
        <w:rPr>
          <w:b/>
          <w:sz w:val="32"/>
        </w:rPr>
        <w:br/>
        <w:t>MANUAL DE PROCEDIMIENTOS INTERNOS</w:t>
        <w:br/>
      </w:r>
      <w:r>
        <w:rPr>
          <w:sz w:val="24"/>
        </w:rPr>
        <w:br/>
        <w:t>v3 — revisado en marzo de 2019</w:t>
        <w:br/>
      </w:r>
      <w:r>
        <w:br/>
        <w:t>Documento de uso interno. Prohibida su reproducción total o parcial sin autorización de Gerencia.</w:t>
        <w:br/>
      </w:r>
    </w:p>
    <w:p>
      <w:r>
        <w:t>Elaborado por: Asesoría y Gestión Besaya, S.L.</w:t>
      </w:r>
    </w:p>
    <w:p>
      <w:r>
        <w:t>Aprobado por: Gerencia</w:t>
      </w:r>
    </w:p>
    <w:p>
      <w:r>
        <w:t>Próxima revisión prevista: marzo de 2021</w:t>
      </w:r>
    </w:p>
    <w:p>
      <w:r>
        <w:br w:type="page"/>
      </w:r>
    </w:p>
    <w:p>
      <w:pPr>
        <w:pStyle w:val="Heading1"/>
      </w:pPr>
      <w:r>
        <w:t>Índice</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Procedimiento</w:t>
            </w:r>
          </w:p>
        </w:tc>
        <w:tc>
          <w:tcPr>
            <w:tcW w:type="dxa" w:w="2880"/>
          </w:tcPr>
          <w:p>
            <w:r>
              <w:t>Página</w:t>
            </w:r>
          </w:p>
        </w:tc>
      </w:tr>
      <w:tr>
        <w:tc>
          <w:tcPr>
            <w:tcW w:type="dxa" w:w="2880"/>
          </w:tcPr>
          <w:p>
            <w:r>
              <w:t>PR-01</w:t>
            </w:r>
          </w:p>
        </w:tc>
        <w:tc>
          <w:tcPr>
            <w:tcW w:type="dxa" w:w="2880"/>
          </w:tcPr>
          <w:p>
            <w:r>
              <w:t>Alta de cliente nuevo</w:t>
            </w:r>
          </w:p>
        </w:tc>
        <w:tc>
          <w:tcPr>
            <w:tcW w:type="dxa" w:w="2880"/>
          </w:tcPr>
          <w:p>
            <w:r>
              <w:t>3</w:t>
            </w:r>
          </w:p>
        </w:tc>
      </w:tr>
      <w:tr>
        <w:tc>
          <w:tcPr>
            <w:tcW w:type="dxa" w:w="2880"/>
          </w:tcPr>
          <w:p>
            <w:r>
              <w:t>PR-02</w:t>
            </w:r>
          </w:p>
        </w:tc>
        <w:tc>
          <w:tcPr>
            <w:tcW w:type="dxa" w:w="2880"/>
          </w:tcPr>
          <w:p>
            <w:r>
              <w:t>Toma de pedido por teléfono</w:t>
            </w:r>
          </w:p>
        </w:tc>
        <w:tc>
          <w:tcPr>
            <w:tcW w:type="dxa" w:w="2880"/>
          </w:tcPr>
          <w:p>
            <w:r>
              <w:t>4</w:t>
            </w:r>
          </w:p>
        </w:tc>
      </w:tr>
      <w:tr>
        <w:tc>
          <w:tcPr>
            <w:tcW w:type="dxa" w:w="2880"/>
          </w:tcPr>
          <w:p>
            <w:r>
              <w:t>PR-03</w:t>
            </w:r>
          </w:p>
        </w:tc>
        <w:tc>
          <w:tcPr>
            <w:tcW w:type="dxa" w:w="2880"/>
          </w:tcPr>
          <w:p>
            <w:r>
              <w:t>Preparación y carga de ruta</w:t>
            </w:r>
          </w:p>
        </w:tc>
        <w:tc>
          <w:tcPr>
            <w:tcW w:type="dxa" w:w="2880"/>
          </w:tcPr>
          <w:p>
            <w:r>
              <w:t>5</w:t>
            </w:r>
          </w:p>
        </w:tc>
      </w:tr>
      <w:tr>
        <w:tc>
          <w:tcPr>
            <w:tcW w:type="dxa" w:w="2880"/>
          </w:tcPr>
          <w:p>
            <w:r>
              <w:t>PR-04</w:t>
            </w:r>
          </w:p>
        </w:tc>
        <w:tc>
          <w:tcPr>
            <w:tcW w:type="dxa" w:w="2880"/>
          </w:tcPr>
          <w:p>
            <w:r>
              <w:t>Entrega y firma de albarán</w:t>
            </w:r>
          </w:p>
        </w:tc>
        <w:tc>
          <w:tcPr>
            <w:tcW w:type="dxa" w:w="2880"/>
          </w:tcPr>
          <w:p>
            <w:r>
              <w:t>6</w:t>
            </w:r>
          </w:p>
        </w:tc>
      </w:tr>
      <w:tr>
        <w:tc>
          <w:tcPr>
            <w:tcW w:type="dxa" w:w="2880"/>
          </w:tcPr>
          <w:p>
            <w:r>
              <w:t>PR-05</w:t>
            </w:r>
          </w:p>
        </w:tc>
        <w:tc>
          <w:tcPr>
            <w:tcW w:type="dxa" w:w="2880"/>
          </w:tcPr>
          <w:p>
            <w:r>
              <w:t>Devoluciones y abonos</w:t>
            </w:r>
          </w:p>
        </w:tc>
        <w:tc>
          <w:tcPr>
            <w:tcW w:type="dxa" w:w="2880"/>
          </w:tcPr>
          <w:p>
            <w:r>
              <w:t>7</w:t>
            </w:r>
          </w:p>
        </w:tc>
      </w:tr>
      <w:tr>
        <w:tc>
          <w:tcPr>
            <w:tcW w:type="dxa" w:w="2880"/>
          </w:tcPr>
          <w:p>
            <w:r>
              <w:t>PR-06</w:t>
            </w:r>
          </w:p>
        </w:tc>
        <w:tc>
          <w:tcPr>
            <w:tcW w:type="dxa" w:w="2880"/>
          </w:tcPr>
          <w:p>
            <w:r>
              <w:t>Facturación mensual</w:t>
            </w:r>
          </w:p>
        </w:tc>
        <w:tc>
          <w:tcPr>
            <w:tcW w:type="dxa" w:w="2880"/>
          </w:tcPr>
          <w:p>
            <w:r>
              <w:t>8</w:t>
            </w:r>
          </w:p>
        </w:tc>
      </w:tr>
      <w:tr>
        <w:tc>
          <w:tcPr>
            <w:tcW w:type="dxa" w:w="2880"/>
          </w:tcPr>
          <w:p>
            <w:r>
              <w:t>PR-07</w:t>
            </w:r>
          </w:p>
        </w:tc>
        <w:tc>
          <w:tcPr>
            <w:tcW w:type="dxa" w:w="2880"/>
          </w:tcPr>
          <w:p>
            <w:r>
              <w:t>Aviso previo de entrega</w:t>
            </w:r>
          </w:p>
        </w:tc>
        <w:tc>
          <w:tcPr>
            <w:tcW w:type="dxa" w:w="2880"/>
          </w:tcPr>
          <w:p>
            <w:r>
              <w:t>9</w:t>
            </w:r>
          </w:p>
        </w:tc>
      </w:tr>
      <w:tr>
        <w:tc>
          <w:tcPr>
            <w:tcW w:type="dxa" w:w="2880"/>
          </w:tcPr>
          <w:p>
            <w:r>
              <w:t>PR-08</w:t>
            </w:r>
          </w:p>
        </w:tc>
        <w:tc>
          <w:tcPr>
            <w:tcW w:type="dxa" w:w="2880"/>
          </w:tcPr>
          <w:p>
            <w:r>
              <w:t>Reclamaciones</w:t>
            </w:r>
          </w:p>
        </w:tc>
        <w:tc>
          <w:tcPr>
            <w:tcW w:type="dxa" w:w="2880"/>
          </w:tcPr>
          <w:p>
            <w:r>
              <w:t>10</w:t>
            </w:r>
          </w:p>
        </w:tc>
      </w:tr>
      <w:tr>
        <w:tc>
          <w:tcPr>
            <w:tcW w:type="dxa" w:w="2880"/>
          </w:tcPr>
          <w:p>
            <w:r>
              <w:t>PR-09</w:t>
            </w:r>
          </w:p>
        </w:tc>
        <w:tc>
          <w:tcPr>
            <w:tcW w:type="dxa" w:w="2880"/>
          </w:tcPr>
          <w:p>
            <w:r>
              <w:t>Actualización de datos de cliente</w:t>
            </w:r>
          </w:p>
        </w:tc>
        <w:tc>
          <w:tcPr>
            <w:tcW w:type="dxa" w:w="2880"/>
          </w:tcPr>
          <w:p>
            <w:r>
              <w:t>11</w:t>
            </w:r>
          </w:p>
        </w:tc>
      </w:tr>
    </w:tbl>
    <w:p/>
    <w:p>
      <w:pPr>
        <w:pStyle w:val="Heading1"/>
      </w:pPr>
      <w:r>
        <w:t>0. Objeto y alcance</w:t>
      </w:r>
    </w:p>
    <w:p>
      <w:r>
        <w:t>El presente manual recoge los procedimientos operativos de Aguas del Norte, S.L., dedicada a la distribución de agua envasada y bebidas a establecimientos de hostelería y clientes particulares en Cantabria y el oriente de Asturias.</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r>
        <w:t>Las dudas de interpretación se elevarán al Departamento de Calidad, que resolverá conforme a los criterios generales de la compañía.</w:t>
      </w:r>
    </w:p>
    <w:p>
      <w:r>
        <w:br w:type="page"/>
      </w:r>
    </w:p>
    <w:p>
      <w:pPr>
        <w:pStyle w:val="Heading1"/>
      </w:pPr>
      <w:r>
        <w:t>PR-01 — Alta de cliente nuevo</w:t>
      </w:r>
    </w:p>
    <w:p>
      <w:pPr>
        <w:pStyle w:val="Heading2"/>
      </w:pPr>
      <w:r>
        <w:t>Objeto</w:t>
      </w:r>
    </w:p>
    <w:p>
      <w:r>
        <w:t>Establecer la sistemática aplicable a «alta de cliente nuevo» dentro de la operativa habitual de la compañía.</w:t>
      </w:r>
    </w:p>
    <w:p>
      <w:pPr>
        <w:pStyle w:val="Heading2"/>
      </w:pPr>
      <w:r>
        <w:t>Desarrollo</w:t>
      </w:r>
    </w:p>
    <w:p>
      <w:r>
        <w:t>1.1. La solicitud de alta se recibe por teléfono, por correo electrónico o a través del comercial de zona.</w:t>
      </w:r>
    </w:p>
    <w:p>
      <w:r>
        <w:t>1.2. Antes de crear la ficha, el responsable administrativo comprobará que el solicitante no consta ya en el fichero maestro. La comprobación se realizará por número de teléfono y, en su defecto, por domicilio de entrega. No se dará de alta ninguna ficha cuyo teléfono coincida con el de una ficha existente.</w:t>
      </w:r>
    </w:p>
    <w:p>
      <w:r>
        <w:t>1.3. Se cumplimentarán todos los campos del maestro. Los campos de descuento y forma de pago requieren la conformidad de Gerencia.</w:t>
      </w:r>
    </w:p>
    <w:p>
      <w:r>
        <w:t>1.4. El alta se comunicará al responsable de ruta antes del primer reparto.</w:t>
      </w:r>
    </w:p>
    <w:p>
      <w:r>
        <w:t>1.5. La documentación soporte se archivará en el expediente del cliente durante el plazo legalmente establecido.</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PR-02 — Toma de pedido por teléfono</w:t>
      </w:r>
    </w:p>
    <w:p>
      <w:pPr>
        <w:pStyle w:val="Heading2"/>
      </w:pPr>
      <w:r>
        <w:t>Objeto</w:t>
      </w:r>
    </w:p>
    <w:p>
      <w:r>
        <w:t>Establecer la sistemática aplicable a «toma de pedido por teléfono» dentro de la operativa habitual de la compañía.</w:t>
      </w:r>
    </w:p>
    <w:p>
      <w:pPr>
        <w:pStyle w:val="Heading2"/>
      </w:pPr>
      <w:r>
        <w:t>Desarrollo</w:t>
      </w:r>
    </w:p>
    <w:p>
      <w:r>
        <w:t>2.1. Los pedidos se reciben en horario de oficina, de 9:00 a 14:00 y de 16:00 a 18:00, de lunes a viernes.</w:t>
      </w:r>
    </w:p>
    <w:p>
      <w:r>
        <w:t>2.2. El operador identificará al cliente por su código o, en su defecto, por el nombre comercial del establecimiento.</w:t>
      </w:r>
    </w:p>
    <w:p>
      <w:r>
        <w:t>2.3. Se anotará producto, formato y cantidad, y se repetirá el pedido completo al cliente antes de cerrar la llamada.</w:t>
      </w:r>
    </w:p>
    <w:p>
      <w:r>
        <w:t>2.4. Los pedidos recibidos después de las 12:00 se sirven en el reparto siguiente.</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PR-03 — Preparación y carga de ruta</w:t>
      </w:r>
    </w:p>
    <w:p>
      <w:pPr>
        <w:pStyle w:val="Heading2"/>
      </w:pPr>
      <w:r>
        <w:t>Objeto</w:t>
      </w:r>
    </w:p>
    <w:p>
      <w:r>
        <w:t>Establecer la sistemática aplicable a «preparación y carga de ruta» dentro de la operativa habitual de la compañía.</w:t>
      </w:r>
    </w:p>
    <w:p>
      <w:pPr>
        <w:pStyle w:val="Heading2"/>
      </w:pPr>
      <w:r>
        <w:t>Desarrollo</w:t>
      </w:r>
    </w:p>
    <w:p>
      <w:r>
        <w:t>3.1. La preparación de la carga se realiza el día anterior al reparto.</w:t>
      </w:r>
    </w:p>
    <w:p>
      <w:r>
        <w:t>3.2. La distribución se organiza en tres rutas: ruta 1 (bahía), ruta 2 (interior) y ruta 3 (costa oriental).</w:t>
      </w:r>
    </w:p>
    <w:p>
      <w:r>
        <w:t>3.3. El responsable de almacén verificará la coincidencia entre la hoja de carga y el albarán de cada cliente.</w:t>
      </w:r>
    </w:p>
    <w:p>
      <w:r>
        <w:t>3.4. Las incidencias de carga se comunicarán al Departamento de Calidad para su registro y análisis.</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PR-04 — Entrega y firma de albarán</w:t>
      </w:r>
    </w:p>
    <w:p>
      <w:pPr>
        <w:pStyle w:val="Heading2"/>
      </w:pPr>
      <w:r>
        <w:t>Objeto</w:t>
      </w:r>
    </w:p>
    <w:p>
      <w:r>
        <w:t>Establecer la sistemática aplicable a «entrega y firma de albarán» dentro de la operativa habitual de la compañía.</w:t>
      </w:r>
    </w:p>
    <w:p>
      <w:pPr>
        <w:pStyle w:val="Heading2"/>
      </w:pPr>
      <w:r>
        <w:t>Desarrollo</w:t>
      </w:r>
    </w:p>
    <w:p>
      <w:r>
        <w:t>4.1. El reparto se efectúa en horario de 8:00 a 16:00.</w:t>
      </w:r>
    </w:p>
    <w:p>
      <w:r>
        <w:t>4.2. El repartidor entregará la mercancía y recabará la firma del cliente o persona autorizada en el albarán.</w:t>
      </w:r>
    </w:p>
    <w:p>
      <w:r>
        <w:t>4.3. En caso de ausencia, el repartidor no depositará la mercancía sin autorización expresa y anotará la incidencia en la hoja de ruta.</w:t>
      </w:r>
    </w:p>
    <w:p>
      <w:r>
        <w:t>4.4. Los envases retornables se recogerán en el mismo acto de entrega.</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PR-05 — Devoluciones y abonos</w:t>
      </w:r>
    </w:p>
    <w:p>
      <w:pPr>
        <w:pStyle w:val="Heading2"/>
      </w:pPr>
      <w:r>
        <w:t>Objeto</w:t>
      </w:r>
    </w:p>
    <w:p>
      <w:r>
        <w:t>Establecer la sistemática aplicable a «devoluciones y abonos» dentro de la operativa habitual de la compañía.</w:t>
      </w:r>
    </w:p>
    <w:p>
      <w:pPr>
        <w:pStyle w:val="Heading2"/>
      </w:pPr>
      <w:r>
        <w:t>Desarrollo</w:t>
      </w:r>
    </w:p>
    <w:p>
      <w:r>
        <w:t>5.1. Toda devolución de mercancía generará un albarán de abono con numeración propia, independiente de la de los albaranes de venta.</w:t>
      </w:r>
    </w:p>
    <w:p>
      <w:r>
        <w:t>5.2. El albarán de abono indicará el motivo de la devolución conforme a la tabla de motivos del anexo II.</w:t>
      </w:r>
    </w:p>
    <w:p>
      <w:r>
        <w:t>5.3. En ningún caso se registrará una devolución como un pedido de venta con signo negativo.</w:t>
      </w:r>
    </w:p>
    <w:p>
      <w:r>
        <w:t>5.4. Los abonos se aplicarán en la factura del mes en curso.</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PR-06 — Facturación mensual</w:t>
      </w:r>
    </w:p>
    <w:p>
      <w:pPr>
        <w:pStyle w:val="Heading2"/>
      </w:pPr>
      <w:r>
        <w:t>Objeto</w:t>
      </w:r>
    </w:p>
    <w:p>
      <w:r>
        <w:t>Establecer la sistemática aplicable a «facturación mensual» dentro de la operativa habitual de la compañía.</w:t>
      </w:r>
    </w:p>
    <w:p>
      <w:pPr>
        <w:pStyle w:val="Heading2"/>
      </w:pPr>
      <w:r>
        <w:t>Desarrollo</w:t>
      </w:r>
    </w:p>
    <w:p>
      <w:r>
        <w:t>6.1. La facturación se emite el primer día hábil del mes siguiente al periodo facturado.</w:t>
      </w:r>
    </w:p>
    <w:p>
      <w:r>
        <w:t>6.2. El importe de cada línea se calcula multiplicando el precio de tarifa por las unidades servidas. Sobre el importe así obtenido se aplica el descuento comercial que tenga asignado el cliente. El resultado se redondea a dos decimales una vez efectuada la operación completa, y nunca antes.</w:t>
      </w:r>
    </w:p>
    <w:p>
      <w:r>
        <w:t>6.3. No se aplicará el descuento sobre el precio unitario de forma independiente: el descuento es un porcentaje del importe de la línea.</w:t>
      </w:r>
    </w:p>
    <w:p>
      <w:r>
        <w:t>6.4. Las facturas se remiten por correo electrónico y, a petición del cliente, en papel.</w:t>
      </w:r>
    </w:p>
    <w:p>
      <w:r>
        <w:t>6.5. Las discrepancias de importe se resolverán en un plazo máximo de cinco días hábiles.</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PR-07 — Aviso previo de entrega</w:t>
      </w:r>
    </w:p>
    <w:p>
      <w:pPr>
        <w:pStyle w:val="Heading2"/>
      </w:pPr>
      <w:r>
        <w:t>Objeto</w:t>
      </w:r>
    </w:p>
    <w:p>
      <w:r>
        <w:t>Establecer la sistemática aplicable a «aviso previo de entrega» dentro de la operativa habitual de la compañía.</w:t>
      </w:r>
    </w:p>
    <w:p>
      <w:pPr>
        <w:pStyle w:val="Heading2"/>
      </w:pPr>
      <w:r>
        <w:t>Desarrollo</w:t>
      </w:r>
    </w:p>
    <w:p>
      <w:r>
        <w:t>7.1. El día anterior al reparto, el responsable de atención al cliente comunicará a cada cliente de la ruta la franja horaria estimada de entrega.</w:t>
      </w:r>
    </w:p>
    <w:p>
      <w:r>
        <w:t>7.2. El aviso previo podrá realizarse por teléfono o por mensaje escrito, y quedará registrado en la hoja de ruta correspondiente.</w:t>
      </w:r>
    </w:p>
    <w:p>
      <w:r>
        <w:t>7.3. Si el cliente comunica que no podrá recibir la mercancía, se reprogramará la entrega al siguiente reparto de la zona.</w:t>
      </w:r>
    </w:p>
    <w:p>
      <w:r>
        <w:t>7.4. La omisión del aviso previo se considerará incidencia de servicio y se comunicará al Departamento de Calidad.</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PR-08 — Reclamaciones</w:t>
      </w:r>
    </w:p>
    <w:p>
      <w:pPr>
        <w:pStyle w:val="Heading2"/>
      </w:pPr>
      <w:r>
        <w:t>Objeto</w:t>
      </w:r>
    </w:p>
    <w:p>
      <w:r>
        <w:t>Establecer la sistemática aplicable a «reclamaciones» dentro de la operativa habitual de la compañía.</w:t>
      </w:r>
    </w:p>
    <w:p>
      <w:pPr>
        <w:pStyle w:val="Heading2"/>
      </w:pPr>
      <w:r>
        <w:t>Desarrollo</w:t>
      </w:r>
    </w:p>
    <w:p>
      <w:r>
        <w:t>8.1. Las reclamaciones se registrarán en el sistema de incidencias el mismo día de su recepción, con indicación del canal de entrada.</w:t>
      </w:r>
    </w:p>
    <w:p>
      <w:r>
        <w:t>8.2. Toda reclamación se clasificará conforme a la tabla de tipologías del anexo III.</w:t>
      </w:r>
    </w:p>
    <w:p>
      <w:r>
        <w:t>8.3. El plazo máximo de respuesta al cliente es de cuarenta y ocho horas.</w:t>
      </w:r>
    </w:p>
    <w:p>
      <w:r>
        <w:t>8.4. Con periodicidad mensual se elaborará un informe de reclamaciones que será elevado a Gerencia.</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PR-09 — Actualización de datos de cliente</w:t>
      </w:r>
    </w:p>
    <w:p>
      <w:pPr>
        <w:pStyle w:val="Heading2"/>
      </w:pPr>
      <w:r>
        <w:t>Objeto</w:t>
      </w:r>
    </w:p>
    <w:p>
      <w:r>
        <w:t>Establecer la sistemática aplicable a «actualización de datos de cliente» dentro de la operativa habitual de la compañía.</w:t>
      </w:r>
    </w:p>
    <w:p>
      <w:pPr>
        <w:pStyle w:val="Heading2"/>
      </w:pPr>
      <w:r>
        <w:t>Desarrollo</w:t>
      </w:r>
    </w:p>
    <w:p>
      <w:r>
        <w:t>9.1. Cualquier modificación de los datos identificativos, fiscales o de contacto del cliente se recogerá en la ficha existente.</w:t>
      </w:r>
    </w:p>
    <w:p>
      <w:r>
        <w:t>9.2. No se creará una ficha nueva para reflejar un cambio de titularidad, de domicilio o de denominación social. La ficha es única por cliente.</w:t>
      </w:r>
    </w:p>
    <w:p>
      <w:r>
        <w:t>9.3. Las modificaciones quedarán registradas con fecha y responsable.</w:t>
      </w:r>
    </w:p>
    <w:p>
      <w:r>
        <w:t>9.4. Con periodicidad semestral se revisará el fichero maestro para detectar registros duplicados u obsoletos.</w:t>
      </w:r>
    </w:p>
    <w:p>
      <w:pPr>
        <w:pStyle w:val="Heading2"/>
      </w:pPr>
      <w:r>
        <w:t>Registros</w:t>
      </w:r>
    </w:p>
    <w:p>
      <w:r>
        <w:t>Los registros derivados de este procedimiento se conservarán conforme a lo indicado en el apartado 0 del presente manual.</w:t>
      </w:r>
    </w:p>
    <w:p>
      <w:r>
        <w:t>El presente procedimiento se enmarca dentro del sistema de gestión de la compañía y será de aplicación a todo el personal afectado por su alcance, sin perjuicio de las instrucciones particulares que en cada caso se establezcan. Su cumplimiento es responsabilidad de los intervinientes.</w:t>
      </w:r>
    </w:p>
    <w:p>
      <w:pPr>
        <w:pStyle w:val="Heading1"/>
      </w:pPr>
      <w:r>
        <w:t>Anexo I — Organigrama</w:t>
      </w:r>
    </w:p>
    <w:p>
      <w:r>
        <w:t>Gerencia</w:t>
      </w:r>
    </w:p>
    <w:p>
      <w:r>
        <w:t>Departamento de Administración</w:t>
      </w:r>
    </w:p>
    <w:p>
      <w:r>
        <w:t>Departamento de Atención al Cliente</w:t>
      </w:r>
    </w:p>
    <w:p>
      <w:r>
        <w:t>Departamento de Logística y Reparto</w:t>
      </w:r>
    </w:p>
    <w:p>
      <w:r>
        <w:t>Departamento de Calidad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procedimientos internos</dc:title>
  <dc:subject/>
  <dc:creator>Asesoría y Gestión Besaya, S.L.</dc:creator>
  <cp:keywords/>
  <dc:description>generated by python-docx</dc:description>
  <cp:lastModifiedBy/>
  <cp:revision>3</cp:revision>
  <dcterms:created xsi:type="dcterms:W3CDTF">2019-03-18T12:00:00Z</dcterms:created>
  <dcterms:modified xsi:type="dcterms:W3CDTF">2019-03-18T12:00:00Z</dcterms:modified>
  <cp:category/>
</cp:coreProperties>
</file>