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00" w:before="200"/>
        <w:ind w:left="200" w:right="200"/>
      </w:pPr>
      <w:r>
        <w:rPr>
          <w:rFonts w:ascii="Arial" w:cs="Arial" w:eastAsia="Arial" w:hAnsi="Arial"/>
          <w:b/>
          <w:bCs/>
          <w:color w:val="FFFFFF"/>
          <w:sz w:val="32"/>
          <w:szCs w:val="32"/>
        </w:rPr>
        <w:t xml:space="preserve">DECRETO 29/2018, DE 17 DE ABRIL</w:t>
      </w:r>
    </w:p>
    <w:p>
      <w:pPr>
        <w:shd w:fill="2E75B6" w:val="clear"/>
        <w:spacing w:after="0" w:before="0"/>
        <w:jc w:val="center"/>
      </w:pPr>
      <w:r>
        <w:rPr>
          <w:rFonts w:ascii="Arial" w:cs="Arial" w:eastAsia="Arial" w:hAnsi="Arial"/>
          <w:b w:val="false"/>
          <w:bCs w:val="false"/>
          <w:color w:val="FFFFFF"/>
          <w:sz w:val="24"/>
          <w:szCs w:val="24"/>
        </w:rPr>
        <w:t xml:space="preserve">Tarifas máximas de los servicios de aducción, distribución, alcantarillado,</w:t>
      </w:r>
    </w:p>
    <w:p>
      <w:pPr>
        <w:shd w:fill="2E75B6" w:val="clear"/>
        <w:spacing w:after="300" w:before="0"/>
        <w:jc w:val="center"/>
      </w:pPr>
      <w:r>
        <w:rPr>
          <w:rFonts w:ascii="Arial" w:cs="Arial" w:eastAsia="Arial" w:hAnsi="Arial"/>
          <w:b w:val="false"/>
          <w:bCs w:val="false"/>
          <w:color w:val="FFFFFF"/>
          <w:sz w:val="24"/>
          <w:szCs w:val="24"/>
        </w:rPr>
        <w:t xml:space="preserve">depuración y reutilización del agua en el ámbito de la Comunidad de Madrid</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0. Grupos de uso — Clasificación de suministros (art. 4)</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4280"/>
        <w:gridCol w:w="3720"/>
      </w:tblGrid>
      <w:tr>
        <w:tc>
          <w:tcPr>
            <w:tcW w:type="dxa" w:w="13680"/>
            <w:gridSpan w:val="4"/>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GRUPOS DE USO (art. 4) — Clasificación de suministros</w:t>
            </w:r>
          </w:p>
        </w:tc>
      </w:tr>
      <w:tr>
        <w:tc>
          <w:tcPr>
            <w:tcW w:type="dxa" w:w="220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w:t>
            </w:r>
          </w:p>
        </w:tc>
        <w:tc>
          <w:tcPr>
            <w:tcW w:type="dxa" w:w="34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Denominación</w:t>
            </w:r>
          </w:p>
        </w:tc>
        <w:tc>
          <w:tcPr>
            <w:tcW w:type="dxa" w:w="42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Incluye</w:t>
            </w:r>
          </w:p>
        </w:tc>
        <w:tc>
          <w:tcPr>
            <w:tcW w:type="dxa" w:w="372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Notas / Particularidades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Usos domésticos</w:t>
            </w:r>
          </w:p>
        </w:tc>
        <w:tc>
          <w:tcPr>
            <w:tcW w:type="dxa" w:w="42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Suministros a vivienda (individual, plurivivienda, vivienda+locales anejos, urbanizaciones no recibidas por el municipio)</w:t>
            </w:r>
          </w:p>
        </w:tc>
        <w:tc>
          <w:tcPr>
            <w:tcW w:type="dxa" w:w="3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Tarifa con diferenciación estacional y progresividad por consumo</w:t>
            </w:r>
          </w:p>
        </w:tc>
      </w:tr>
      <w:tr>
        <w:tc>
          <w:tcPr>
            <w:tcW w:type="dxa" w:w="22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b)</w:t>
            </w:r>
          </w:p>
        </w:tc>
        <w:tc>
          <w:tcPr>
            <w:tcW w:type="dxa" w:w="34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Asimilados a doméstico</w:t>
            </w:r>
          </w:p>
        </w:tc>
        <w:tc>
          <w:tcPr>
            <w:tcW w:type="dxa" w:w="42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Usos comunes en edificios de viviendas: calefacción, garajes, riegos de jardines, piscina y demás servicios comunes en régimen de comunidad</w:t>
            </w:r>
          </w:p>
        </w:tc>
        <w:tc>
          <w:tcPr>
            <w:tcW w:type="dxa" w:w="37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 se cuenta el número de viviendas para el cálculo de N; solo los usos comunes asimilados</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Usos comerciales</w:t>
            </w:r>
          </w:p>
        </w:tc>
        <w:tc>
          <w:tcPr>
            <w:tcW w:type="dxa" w:w="42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Actividades comerciales, agrícolas, ganaderas o cinegéticas</w:t>
            </w:r>
          </w:p>
        </w:tc>
        <w:tc>
          <w:tcPr>
            <w:tcW w:type="dxa" w:w="3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Bloques de consumo según diámetro del contador; posible aplicación de coef. K si contaminante</w:t>
            </w:r>
          </w:p>
        </w:tc>
      </w:tr>
      <w:tr>
        <w:tc>
          <w:tcPr>
            <w:tcW w:type="dxa" w:w="22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d)</w:t>
            </w:r>
          </w:p>
        </w:tc>
        <w:tc>
          <w:tcPr>
            <w:tcW w:type="dxa" w:w="34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Asimilados a comercial</w:t>
            </w:r>
          </w:p>
        </w:tc>
        <w:tc>
          <w:tcPr>
            <w:tcW w:type="dxa" w:w="42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Dependencias de AA.PP. (administraciones, servicios, enseñanza, cuarteles, hospitales, polideportivos, cementerios); obras; extinción de incendios; sedes de organismos internacionales; usos comunes de centros comerciales o industriales</w:t>
            </w:r>
          </w:p>
        </w:tc>
        <w:tc>
          <w:tcPr>
            <w:tcW w:type="dxa" w:w="37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Bloques según diámetro; extinción de incendios excluida del coef. K</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e)</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Usos industriales</w:t>
            </w:r>
          </w:p>
        </w:tc>
        <w:tc>
          <w:tcPr>
            <w:tcW w:type="dxa" w:w="42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Actividades industriales y cualquier otra actividad productiva</w:t>
            </w:r>
          </w:p>
        </w:tc>
        <w:tc>
          <w:tcPr>
            <w:tcW w:type="dxa" w:w="3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Bloques según diámetro; posible coef. K si activ. contaminante</w:t>
            </w:r>
          </w:p>
        </w:tc>
      </w:tr>
      <w:tr>
        <w:tc>
          <w:tcPr>
            <w:tcW w:type="dxa" w:w="22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f)</w:t>
            </w:r>
          </w:p>
        </w:tc>
        <w:tc>
          <w:tcPr>
            <w:tcW w:type="dxa" w:w="34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Riegos públicos</w:t>
            </w:r>
          </w:p>
        </w:tc>
        <w:tc>
          <w:tcPr>
            <w:tcW w:type="dxa" w:w="42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Suministros de titularidad de AA.PP. destinados a riegos de zonas verdes, parques y jardines de titularidad y uso público, con acceso libre</w:t>
            </w:r>
          </w:p>
        </w:tc>
        <w:tc>
          <w:tcPr>
            <w:tcW w:type="dxa" w:w="37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Nueva tarifa creada por el Decreto 29/2018; bloques específicos según diámetro</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g)</w:t>
            </w:r>
          </w:p>
        </w:tc>
        <w:tc>
          <w:tcPr>
            <w:tcW w:type="dxa" w:w="3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Otros usos</w:t>
            </w:r>
          </w:p>
        </w:tc>
        <w:tc>
          <w:tcPr>
            <w:tcW w:type="dxa" w:w="42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Todos los no incluidos en los grupos anteriores: riegos de zonas verdes distintos de los de b) y f), fuentes, solares</w:t>
            </w:r>
          </w:p>
        </w:tc>
        <w:tc>
          <w:tcPr>
            <w:tcW w:type="dxa" w:w="37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Mismos bloques y precios que domésticos (25 m³ y 50 m³)</w:t>
            </w:r>
          </w:p>
        </w:tc>
      </w:tr>
    </w:tbl>
    <w:p>
      <w:pPr>
        <w:spacing w:after="80" w:before="80"/>
      </w:pPr>
      <w:r>
        <w:t xml:space="preserve"/>
      </w:r>
    </w:p>
    <w:p>
      <w:pPr>
        <w:spacing w:after="60" w:before="60"/>
        <w:ind w:left="200"/>
      </w:pPr>
      <w:r>
        <w:rPr>
          <w:rFonts w:ascii="Arial" w:cs="Arial" w:eastAsia="Arial" w:hAnsi="Arial"/>
          <w:color w:val="5D6D7E"/>
          <w:sz w:val="16"/>
          <w:szCs w:val="16"/>
        </w:rPr>
        <w:t xml:space="preserve">ⓘ  El grupo de uso se asigna teniendo en cuenta tanto el uso al que se destina el suministro como la actividad principal de la finca suministrada.</w:t>
      </w:r>
    </w:p>
    <w:p>
      <w:pPr>
        <w:spacing w:after="60" w:before="60"/>
        <w:ind w:left="200"/>
      </w:pPr>
      <w:r>
        <w:rPr>
          <w:rFonts w:ascii="Arial" w:cs="Arial" w:eastAsia="Arial" w:hAnsi="Arial"/>
          <w:color w:val="5D6D7E"/>
          <w:sz w:val="16"/>
          <w:szCs w:val="16"/>
        </w:rPr>
        <w:t xml:space="preserve">ⓘ  Las actividades contaminantes (usos c, d y e) pueden estar sujetas al coeficiente K del Decreto 154/1997, de 13 de noviembre, para la tarifa de depuración.</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1. Servicio de Aducción — Parte variable y cuota de servicio (art. 7.1)</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560"/>
        <w:gridCol w:w="1560"/>
        <w:gridCol w:w="1560"/>
        <w:gridCol w:w="1560"/>
        <w:gridCol w:w="1560"/>
        <w:gridCol w:w="1520"/>
      </w:tblGrid>
      <w:tr>
        <w:tc>
          <w:tcPr>
            <w:tcW w:type="dxa" w:w="13680"/>
            <w:gridSpan w:val="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SERVICIO DE ADUCCIÓN — Parte Variable</w:t>
            </w:r>
          </w:p>
        </w:tc>
      </w:tr>
      <w:tr>
        <w:tc>
          <w:tcPr>
            <w:tcW w:type="dxa" w:w="280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 de uso</w:t>
            </w:r>
          </w:p>
        </w:tc>
        <w:tc>
          <w:tcPr>
            <w:tcW w:type="dxa" w:w="15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Bloque</w:t>
            </w:r>
          </w:p>
        </w:tc>
        <w:tc>
          <w:tcPr>
            <w:tcW w:type="dxa" w:w="15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Límite bloque (m³/bimestre)</w:t>
            </w:r>
          </w:p>
        </w:tc>
        <w:tc>
          <w:tcPr>
            <w:tcW w:type="dxa" w:w="15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INVIERNO (€/m³)</w:t>
            </w:r>
          </w:p>
        </w:tc>
        <w:tc>
          <w:tcPr>
            <w:tcW w:type="dxa" w:w="15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VERANO (€/m³)</w:t>
            </w:r>
          </w:p>
        </w:tc>
        <w:tc>
          <w:tcPr>
            <w:tcW w:type="dxa" w:w="15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Coeficiente cuota servicio (CAD)</w:t>
            </w:r>
          </w:p>
        </w:tc>
        <w:tc>
          <w:tcPr>
            <w:tcW w:type="dxa" w:w="15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Fórmula cuota servicio</w:t>
            </w:r>
          </w:p>
        </w:tc>
        <w:tc>
          <w:tcPr>
            <w:tcW w:type="dxa" w:w="152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Nota</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Domésticos / Asimilados a doméstico</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0 - 25 m³</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0,3066</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0,3066</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0,0183</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CAD × (Ø² + 225×N)</w:t>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inv/ver</w:t>
            </w:r>
          </w:p>
        </w:tc>
      </w:tr>
      <w:tr>
        <w:tc>
          <w:tcPr>
            <w:tcW w:type="dxa" w:w="28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2º bloque</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25 - 50 m³</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0,5671</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0,7089</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&gt; 50 m³</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1,3612</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2,0417</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13680"/>
            <w:gridSpan w:val="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7"/>
                <w:szCs w:val="17"/>
              </w:rPr>
              <w:t xml:space="preserve">USOS COMERCIALES, ASIMILADOS A COMERCIAL E INDUSTRIALES — bloques según diámetro</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Comercial / Asim. comercial / Industrial</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Hasta límite tabla (ver abajo)</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0,4195</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0,4195</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0,0183</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CAD × (Ø² + 225×N)</w:t>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inv/ver</w:t>
            </w:r>
          </w:p>
        </w:tc>
      </w:tr>
      <w:tr>
        <w:tc>
          <w:tcPr>
            <w:tcW w:type="dxa" w:w="28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2º bloque</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Hasta 2× límite tabla</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0,5671</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0,7089</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Resto</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1,0219</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1,5328</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13680"/>
            <w:gridSpan w:val="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7"/>
                <w:szCs w:val="17"/>
              </w:rPr>
              <w:t xml:space="preserve">USOS RIEGOS PÚBLICOS — bloques según diámetro</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Riegos públicos</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Hasta límite tabla (ver abajo)</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0,4195</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0,4195</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0,0183</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CAD × (Ø² + 225×N)</w:t>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inv/ver</w:t>
            </w:r>
          </w:p>
        </w:tc>
      </w:tr>
      <w:tr>
        <w:tc>
          <w:tcPr>
            <w:tcW w:type="dxa" w:w="28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2º bloque</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Hasta 2× límite</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0,5671</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0,7089</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Resto</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1,1570</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1,7354</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13680"/>
            <w:gridSpan w:val="8"/>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7"/>
                <w:szCs w:val="17"/>
              </w:rPr>
              <w:t xml:space="preserve">OTROS USOS</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Otros usos</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0 - 25 m³</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0,4195</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0,4195</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0,0183</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CAD × (Ø² + 225×N)</w:t>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inv/ver</w:t>
            </w:r>
          </w:p>
        </w:tc>
      </w:tr>
      <w:tr>
        <w:tc>
          <w:tcPr>
            <w:tcW w:type="dxa" w:w="28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2º bloque</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25 - 50 m³</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0,5671</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0,7089</w:t>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3º bloque</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&gt; 50 m³</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1,3612</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2,0417</w:t>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15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r>
    </w:tbl>
    <w:p>
      <w:pPr>
        <w:spacing w:after="80" w:before="80"/>
      </w:pPr>
      <w:r>
        <w:t xml:space="preserve"/>
      </w:r>
    </w:p>
    <w:p>
      <w:pPr>
        <w:spacing w:after="60" w:before="60"/>
        <w:ind w:left="200"/>
      </w:pPr>
      <w:r>
        <w:rPr>
          <w:rFonts w:ascii="Arial" w:cs="Arial" w:eastAsia="Arial" w:hAnsi="Arial"/>
          <w:color w:val="5D6D7E"/>
          <w:sz w:val="16"/>
          <w:szCs w:val="16"/>
        </w:rPr>
        <w:t xml:space="preserve">ⓘ  Período estacional de VERANO: 1 de junio al 30 de septiembre (ambos inclusive). Período estacional de INVIERNO: resto del año.</w:t>
      </w:r>
    </w:p>
    <w:p>
      <w:pPr>
        <w:spacing w:after="60" w:before="60"/>
        <w:ind w:left="200"/>
      </w:pPr>
      <w:r>
        <w:rPr>
          <w:rFonts w:ascii="Arial" w:cs="Arial" w:eastAsia="Arial" w:hAnsi="Arial"/>
          <w:color w:val="5D6D7E"/>
          <w:sz w:val="16"/>
          <w:szCs w:val="16"/>
        </w:rPr>
        <w:t xml:space="preserve">ⓘ  Cuando el consumo se realice en un período mixto (días de invierno y verano), las tarifas se aplican repartiendo el consumo proporcionalmente al número de días de cada período.</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1a. Límites de bloques según diámetro — Usos Comerciales, Asimilados a Comercial e Industriales</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10"/>
        <w:gridCol w:w="1210"/>
        <w:gridCol w:w="1210"/>
        <w:gridCol w:w="1210"/>
        <w:gridCol w:w="1210"/>
        <w:gridCol w:w="1210"/>
        <w:gridCol w:w="1210"/>
        <w:gridCol w:w="1210"/>
        <w:gridCol w:w="1210"/>
        <w:gridCol w:w="1390"/>
      </w:tblGrid>
      <w:tr>
        <w:tc>
          <w:tcPr>
            <w:tcW w:type="dxa" w:w="13680"/>
            <w:gridSpan w:val="1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LÍMITES DE BLOQUES — Comercial / Asim. Comercial / Industrial (m³/bimestre)</w:t>
            </w:r>
          </w:p>
        </w:tc>
      </w:tr>
      <w:tr>
        <w:tc>
          <w:tcPr>
            <w:tcW w:type="dxa" w:w="160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Concepto</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≤15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20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25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30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40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50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65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80 mm</w:t>
            </w:r>
          </w:p>
        </w:tc>
        <w:tc>
          <w:tcPr>
            <w:tcW w:type="dxa" w:w="121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100 mm</w:t>
            </w:r>
          </w:p>
        </w:tc>
        <w:tc>
          <w:tcPr>
            <w:tcW w:type="dxa" w:w="139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&gt;100 mm</w:t>
            </w:r>
          </w:p>
        </w:tc>
      </w:tr>
      <w:tr>
        <w:tc>
          <w:tcPr>
            <w:tcW w:type="dxa" w:w="16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1º bloque hasta (m³/bim.)</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800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900</w:t>
            </w:r>
          </w:p>
        </w:tc>
        <w:tc>
          <w:tcPr>
            <w:tcW w:type="dxa" w:w="139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900</w:t>
            </w:r>
          </w:p>
        </w:tc>
      </w:tr>
      <w:tr>
        <w:tc>
          <w:tcPr>
            <w:tcW w:type="dxa" w:w="16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2º bloque hasta (m³/bim.)</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1200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1600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c>
          <w:tcPr>
            <w:tcW w:type="dxa" w:w="139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r>
    </w:tbl>
    <w:p>
      <w:pPr>
        <w:spacing w:after="80" w:before="80"/>
      </w:pPr>
      <w:r>
        <w:t xml:space="preserve"/>
      </w:r>
    </w:p>
    <w:p>
      <w:pPr>
        <w:spacing w:after="60" w:before="60"/>
        <w:ind w:left="200"/>
      </w:pPr>
      <w:r>
        <w:rPr>
          <w:rFonts w:ascii="Arial" w:cs="Arial" w:eastAsia="Arial" w:hAnsi="Arial"/>
          <w:color w:val="5D6D7E"/>
          <w:sz w:val="16"/>
          <w:szCs w:val="16"/>
        </w:rPr>
        <w:t xml:space="preserve">ⓘ  Los límites del 2º bloque son exactamente el doble de los del 1º bloque para cada diámetro.</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1b. Límites de bloques según diámetro — Riegos Públicos</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10"/>
        <w:gridCol w:w="1210"/>
        <w:gridCol w:w="1210"/>
        <w:gridCol w:w="1210"/>
        <w:gridCol w:w="1210"/>
        <w:gridCol w:w="1210"/>
        <w:gridCol w:w="1210"/>
        <w:gridCol w:w="1210"/>
        <w:gridCol w:w="1210"/>
        <w:gridCol w:w="1390"/>
      </w:tblGrid>
      <w:tr>
        <w:tc>
          <w:tcPr>
            <w:tcW w:type="dxa" w:w="13680"/>
            <w:gridSpan w:val="1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LÍMITES DE BLOQUES — Riegos Públicos (m³/bimestre)</w:t>
            </w:r>
          </w:p>
        </w:tc>
      </w:tr>
      <w:tr>
        <w:tc>
          <w:tcPr>
            <w:tcW w:type="dxa" w:w="160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Concepto</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≤15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20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25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30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40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50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65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80 mm</w:t>
            </w:r>
          </w:p>
        </w:tc>
        <w:tc>
          <w:tcPr>
            <w:tcW w:type="dxa" w:w="121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100 mm</w:t>
            </w:r>
          </w:p>
        </w:tc>
        <w:tc>
          <w:tcPr>
            <w:tcW w:type="dxa" w:w="139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&gt;100 mm</w:t>
            </w:r>
          </w:p>
        </w:tc>
      </w:tr>
      <w:tr>
        <w:tc>
          <w:tcPr>
            <w:tcW w:type="dxa" w:w="16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1º bloque hasta (m³/bim.)</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35</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105</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105</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245</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315</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420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560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630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630</w:t>
            </w:r>
          </w:p>
        </w:tc>
        <w:tc>
          <w:tcPr>
            <w:tcW w:type="dxa" w:w="139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630</w:t>
            </w:r>
          </w:p>
        </w:tc>
      </w:tr>
      <w:tr>
        <w:tc>
          <w:tcPr>
            <w:tcW w:type="dxa" w:w="16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2º bloque hasta (m³/bim.)</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210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210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490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630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840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1120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1260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1260</w:t>
            </w:r>
          </w:p>
        </w:tc>
        <w:tc>
          <w:tcPr>
            <w:tcW w:type="dxa" w:w="139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1260</w:t>
            </w:r>
          </w:p>
        </w:tc>
      </w:tr>
    </w:tbl>
    <w:p>
      <w:pPr>
        <w:spacing w:after="80" w:before="80"/>
      </w:pPr>
      <w:r>
        <w:t xml:space="preserve"/>
      </w:r>
    </w:p>
    <w:p>
      <w:pPr>
        <w:spacing w:after="60" w:before="60"/>
        <w:ind w:left="200"/>
      </w:pPr>
      <w:r>
        <w:rPr>
          <w:rFonts w:ascii="Arial" w:cs="Arial" w:eastAsia="Arial" w:hAnsi="Arial"/>
          <w:color w:val="5D6D7E"/>
          <w:sz w:val="16"/>
          <w:szCs w:val="16"/>
        </w:rPr>
        <w:t xml:space="preserve">ⓘ  Los riegos públicos tienen límites de bloque distintos e inferiores a los de usos comerciales/industriales para el mismo diámetro de contador.</w:t>
      </w:r>
    </w:p>
    <w:p>
      <w:pPr>
        <w:spacing w:after="80" w:before="80"/>
      </w:pPr>
      <w:r>
        <w:t xml:space="preserve"/>
      </w:r>
    </w:p>
    <w:p>
      <w:r>
        <w:br w:type="page"/>
      </w:r>
    </w:p>
    <w:p>
      <w:pPr>
        <w:pBdr>
          <w:bottom w:val="single" w:color="D6E4F0" w:sz="6"/>
        </w:pBdr>
        <w:spacing w:after="100" w:before="300"/>
      </w:pPr>
      <w:r>
        <w:rPr>
          <w:rFonts w:ascii="Arial" w:cs="Arial" w:eastAsia="Arial" w:hAnsi="Arial"/>
          <w:b/>
          <w:bCs/>
          <w:color w:val="2E75B6"/>
          <w:sz w:val="24"/>
          <w:szCs w:val="24"/>
        </w:rPr>
        <w:t xml:space="preserve">2. Servicio de Distribución — Parte variable y cuota de servicio (art. 7.2)</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120"/>
        <w:gridCol w:w="2120"/>
        <w:gridCol w:w="2120"/>
        <w:gridCol w:w="4120"/>
      </w:tblGrid>
      <w:tr>
        <w:tc>
          <w:tcPr>
            <w:tcW w:type="dxa" w:w="13680"/>
            <w:gridSpan w:val="5"/>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DE DISTRIBUCIÓN — Parte Variable</w:t>
            </w:r>
          </w:p>
        </w:tc>
      </w:tr>
      <w:tr>
        <w:tc>
          <w:tcPr>
            <w:tcW w:type="dxa" w:w="320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 de uso / Bloque</w:t>
            </w:r>
          </w:p>
        </w:tc>
        <w:tc>
          <w:tcPr>
            <w:tcW w:type="dxa" w:w="212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Límite (m³/bimestre)</w:t>
            </w:r>
          </w:p>
        </w:tc>
        <w:tc>
          <w:tcPr>
            <w:tcW w:type="dxa" w:w="212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Invierno (€/m³)</w:t>
            </w:r>
          </w:p>
        </w:tc>
        <w:tc>
          <w:tcPr>
            <w:tcW w:type="dxa" w:w="212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Verano (€/m³)</w:t>
            </w:r>
          </w:p>
        </w:tc>
        <w:tc>
          <w:tcPr>
            <w:tcW w:type="dxa" w:w="412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Cuota de servicio (parte fija)</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Otros — 1º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 – 25 m³</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0,1381</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Plurivivienda: CDT × (15² + 225) × N</w:t>
            </w:r>
          </w:p>
        </w:tc>
      </w:tr>
      <w:tr>
        <w:tc>
          <w:tcPr>
            <w:tcW w:type="dxa" w:w="32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Otros — 2º bloque</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 – 50 m³</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0,2176</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Resto: CDT × (Ø² + 225 × N)</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Otros — 3º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&gt; 50 m³</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0,5187</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CDT = 0,0083</w:t>
            </w:r>
          </w:p>
        </w:tc>
      </w:tr>
      <w:tr>
        <w:tc>
          <w:tcPr>
            <w:tcW w:type="dxa" w:w="32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 / AsimCom. / Ind. — 1º bloque</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Según tabla diámetro (ídem Aducción)</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0,1381</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 / AsimCom. / Ind. — 2º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Según tabla diámetro</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0,2176</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r>
      <w:tr>
        <w:tc>
          <w:tcPr>
            <w:tcW w:type="dxa" w:w="32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 / AsimCom. / Ind. — 3º bloque</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Resto</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0,5187</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Riegos Públicos — 1º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Según tabla diámetro (ídem riegos públicos Aducción)</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0,1381</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r>
      <w:tr>
        <w:tc>
          <w:tcPr>
            <w:tcW w:type="dxa" w:w="32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Riegos Públicos — 2º bloque</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Según tabla diámetro</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0,2176</w:t>
            </w:r>
          </w:p>
        </w:tc>
        <w:tc>
          <w:tcPr>
            <w:tcW w:type="dxa" w:w="212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Riegos Públicos — 3º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Resto</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0,5187</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E8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r>
    </w:tbl>
    <w:p>
      <w:pPr>
        <w:spacing w:after="80" w:before="80"/>
      </w:pPr>
      <w:r>
        <w:t xml:space="preserve"/>
      </w:r>
    </w:p>
    <w:p>
      <w:pPr>
        <w:spacing w:after="60" w:before="60"/>
        <w:ind w:left="200"/>
      </w:pPr>
      <w:r>
        <w:rPr>
          <w:rFonts w:ascii="Arial" w:cs="Arial" w:eastAsia="Arial" w:hAnsi="Arial"/>
          <w:color w:val="5D6D7E"/>
          <w:sz w:val="16"/>
          <w:szCs w:val="16"/>
        </w:rPr>
        <w:t xml:space="preserve">ⓘ  La distribución NO tiene diferenciación estacional (mismo precio en invierno y en verano para todos los bloques).</w:t>
      </w:r>
    </w:p>
    <w:p>
      <w:pPr>
        <w:spacing w:after="60" w:before="60"/>
        <w:ind w:left="200"/>
      </w:pPr>
      <w:r>
        <w:rPr>
          <w:rFonts w:ascii="Arial" w:cs="Arial" w:eastAsia="Arial" w:hAnsi="Arial"/>
          <w:color w:val="5D6D7E"/>
          <w:sz w:val="16"/>
          <w:szCs w:val="16"/>
        </w:rPr>
        <w:t xml:space="preserve">ⓘ  Para usos comerciales, asimilados a comercial y riegos públicos se aplican los mismos precios unitarios del apartado a) pero sobre los bloques definidos por el diámetro del contador (tablas 1a y 1b).</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3. Servicio de Alcantarillado — Parte variable y cuota de servicio (art. 7.3)</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120"/>
        <w:gridCol w:w="2120"/>
        <w:gridCol w:w="2120"/>
        <w:gridCol w:w="4120"/>
      </w:tblGrid>
      <w:tr>
        <w:tc>
          <w:tcPr>
            <w:tcW w:type="dxa" w:w="13680"/>
            <w:gridSpan w:val="5"/>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DE ALCANTARILLADO — Parte Variable</w:t>
            </w:r>
          </w:p>
        </w:tc>
      </w:tr>
      <w:tr>
        <w:tc>
          <w:tcPr>
            <w:tcW w:type="dxa" w:w="320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 de uso / Bloque</w:t>
            </w:r>
          </w:p>
        </w:tc>
        <w:tc>
          <w:tcPr>
            <w:tcW w:type="dxa" w:w="212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Límite (m³/bimestre)</w:t>
            </w:r>
          </w:p>
        </w:tc>
        <w:tc>
          <w:tcPr>
            <w:tcW w:type="dxa" w:w="212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Invierno (€/m³)</w:t>
            </w:r>
          </w:p>
        </w:tc>
        <w:tc>
          <w:tcPr>
            <w:tcW w:type="dxa" w:w="212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Verano (€/m³)</w:t>
            </w:r>
          </w:p>
        </w:tc>
        <w:tc>
          <w:tcPr>
            <w:tcW w:type="dxa" w:w="412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Cuota de servicio (parte fija)</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Com / AsimCom / Ind / Otros — 1º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 – 25 m³</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0,1131</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FE6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Dom.: CAL × N</w:t>
            </w:r>
          </w:p>
        </w:tc>
      </w:tr>
      <w:tr>
        <w:tc>
          <w:tcPr>
            <w:tcW w:type="dxa" w:w="3200"/>
            <w:gridSpan w:val="1"/>
            <w:tcBorders>
              <w:top w:val="single" w:color="CCCCCC" w:sz="4"/>
              <w:left w:val="single" w:color="CCCCCC" w:sz="4"/>
              <w:bottom w:val="single" w:color="CCCCCC" w:sz="4"/>
              <w:right w:val="single" w:color="CCCCCC" w:sz="4"/>
            </w:tcBorders>
            <w:shd w:fill="FFF3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Com / AsimCom / Ind / Otros — 2º bloque</w:t>
            </w:r>
          </w:p>
        </w:tc>
        <w:tc>
          <w:tcPr>
            <w:tcW w:type="dxa" w:w="2120"/>
            <w:gridSpan w:val="1"/>
            <w:tcBorders>
              <w:top w:val="single" w:color="CCCCCC" w:sz="4"/>
              <w:left w:val="single" w:color="CCCCCC" w:sz="4"/>
              <w:bottom w:val="single" w:color="CCCCCC" w:sz="4"/>
              <w:right w:val="single" w:color="CCCCCC" w:sz="4"/>
            </w:tcBorders>
            <w:shd w:fill="FFF3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 – 50 m³</w:t>
            </w:r>
          </w:p>
        </w:tc>
        <w:tc>
          <w:tcPr>
            <w:tcW w:type="dxa" w:w="2120"/>
            <w:gridSpan w:val="1"/>
            <w:tcBorders>
              <w:top w:val="single" w:color="CCCCCC" w:sz="4"/>
              <w:left w:val="single" w:color="CCCCCC" w:sz="4"/>
              <w:bottom w:val="single" w:color="CCCCCC" w:sz="4"/>
              <w:right w:val="single" w:color="CCCCCC" w:sz="4"/>
            </w:tcBorders>
            <w:shd w:fill="FFF3E6"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0,1243</w:t>
            </w:r>
          </w:p>
        </w:tc>
        <w:tc>
          <w:tcPr>
            <w:tcW w:type="dxa" w:w="2120"/>
            <w:gridSpan w:val="1"/>
            <w:tcBorders>
              <w:top w:val="single" w:color="CCCCCC" w:sz="4"/>
              <w:left w:val="single" w:color="CCCCCC" w:sz="4"/>
              <w:bottom w:val="single" w:color="CCCCCC" w:sz="4"/>
              <w:right w:val="single" w:color="CCCCCC" w:sz="4"/>
            </w:tcBorders>
            <w:shd w:fill="FFF3E6"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FE6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Resto: CAL × Ø² / 100</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Com / AsimCom / Ind / Otros — 3º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&gt; 50 m³</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0,1521</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FE6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CAL = 1,1402</w:t>
            </w:r>
          </w:p>
        </w:tc>
      </w:tr>
    </w:tbl>
    <w:p>
      <w:pPr>
        <w:spacing w:after="80" w:before="80"/>
      </w:pPr>
      <w:r>
        <w:t xml:space="preserve"/>
      </w:r>
    </w:p>
    <w:p>
      <w:pPr>
        <w:spacing w:after="60" w:before="60"/>
        <w:ind w:left="200"/>
      </w:pPr>
      <w:r>
        <w:rPr>
          <w:rFonts w:ascii="Arial" w:cs="Arial" w:eastAsia="Arial" w:hAnsi="Arial"/>
          <w:color w:val="5D6D7E"/>
          <w:sz w:val="16"/>
          <w:szCs w:val="16"/>
        </w:rPr>
        <w:t xml:space="preserve">ⓘ  El alcantarillado aplica los mismos bloques de 25 m³ para todos los usos, sin diferenciación por diámetro de contador ni diferenciación estacional.</w:t>
      </w:r>
    </w:p>
    <w:p>
      <w:pPr>
        <w:spacing w:after="60" w:before="60"/>
        <w:ind w:left="200"/>
      </w:pPr>
      <w:r>
        <w:rPr>
          <w:rFonts w:ascii="Arial" w:cs="Arial" w:eastAsia="Arial" w:hAnsi="Arial"/>
          <w:color w:val="5D6D7E"/>
          <w:sz w:val="16"/>
          <w:szCs w:val="16"/>
        </w:rPr>
        <w:t xml:space="preserve">ⓘ  Para autoabastecimiento (parcial o total) con contador instalado en la aducción propia, se aplican las mismas tarifas del art. 3.1 y 3.2.</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4. Servicio de Depuración — Parte variable y cuota de servicio (art. 7.4)</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120"/>
        <w:gridCol w:w="2120"/>
        <w:gridCol w:w="2120"/>
        <w:gridCol w:w="4120"/>
      </w:tblGrid>
      <w:tr>
        <w:tc>
          <w:tcPr>
            <w:tcW w:type="dxa" w:w="13680"/>
            <w:gridSpan w:val="5"/>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DE DEPURACIÓN — Parte Variable</w:t>
            </w:r>
          </w:p>
        </w:tc>
      </w:tr>
      <w:tr>
        <w:tc>
          <w:tcPr>
            <w:tcW w:type="dxa" w:w="320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 de uso / Bloque</w:t>
            </w:r>
          </w:p>
        </w:tc>
        <w:tc>
          <w:tcPr>
            <w:tcW w:type="dxa" w:w="212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Límite (m³/bimestre)</w:t>
            </w:r>
          </w:p>
        </w:tc>
        <w:tc>
          <w:tcPr>
            <w:tcW w:type="dxa" w:w="212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Invierno (€/m³)</w:t>
            </w:r>
          </w:p>
        </w:tc>
        <w:tc>
          <w:tcPr>
            <w:tcW w:type="dxa" w:w="212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Verano (€/m³)</w:t>
            </w:r>
          </w:p>
        </w:tc>
        <w:tc>
          <w:tcPr>
            <w:tcW w:type="dxa" w:w="412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Cuota de servicio (parte fija)</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Com / AsimCom / Ind / Otros — 1º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0 – 25 m³</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0,3129</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Dom. / AsimDom.: CDP × N</w:t>
            </w:r>
          </w:p>
        </w:tc>
      </w:tr>
      <w:tr>
        <w:tc>
          <w:tcPr>
            <w:tcW w:type="dxa" w:w="320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Com / AsimCom / Ind / Otros — 2º bloque</w:t>
            </w:r>
          </w:p>
        </w:tc>
        <w:tc>
          <w:tcPr>
            <w:tcW w:type="dxa" w:w="212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25 – 50 m³</w:t>
            </w:r>
          </w:p>
        </w:tc>
        <w:tc>
          <w:tcPr>
            <w:tcW w:type="dxa" w:w="212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0,3575</w:t>
            </w:r>
          </w:p>
        </w:tc>
        <w:tc>
          <w:tcPr>
            <w:tcW w:type="dxa" w:w="212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 / AsimCom / Ind / Otros: CDP × Ø² / 100</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Dom / AsimDom / Com / AsimCom / Ind / Otros — 3º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&gt; 50 m³</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0,5458</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CDP = 3,1527</w:t>
            </w:r>
          </w:p>
        </w:tc>
      </w:tr>
      <w:tr>
        <w:tc>
          <w:tcPr>
            <w:tcW w:type="dxa" w:w="320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 / AsimCom / Ind CONTAMINANTES (coef. K &gt; 1, Dcto. 154/1997)</w:t>
            </w:r>
          </w:p>
        </w:tc>
        <w:tc>
          <w:tcPr>
            <w:tcW w:type="dxa" w:w="212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Aplica a todos los bloques</w:t>
            </w:r>
          </w:p>
        </w:tc>
        <w:tc>
          <w:tcPr>
            <w:tcW w:type="dxa" w:w="212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Precio bloque × K</w:t>
            </w:r>
          </w:p>
        </w:tc>
        <w:tc>
          <w:tcPr>
            <w:tcW w:type="dxa" w:w="212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 se determina según Decreto 154/1997</w:t>
            </w:r>
          </w:p>
        </w:tc>
      </w:tr>
    </w:tbl>
    <w:p>
      <w:pPr>
        <w:spacing w:after="80" w:before="80"/>
      </w:pPr>
      <w:r>
        <w:t xml:space="preserve"/>
      </w:r>
    </w:p>
    <w:p>
      <w:pPr>
        <w:spacing w:after="60" w:before="60"/>
        <w:ind w:left="200"/>
      </w:pPr>
      <w:r>
        <w:rPr>
          <w:rFonts w:ascii="Arial" w:cs="Arial" w:eastAsia="Arial" w:hAnsi="Arial"/>
          <w:color w:val="5D6D7E"/>
          <w:sz w:val="16"/>
          <w:szCs w:val="16"/>
        </w:rPr>
        <w:t xml:space="preserve">ⓘ  Son contaminantes las actividades de usos c), d) y e) que: consuman más de 22.000 m³/año, o entre 3.500 y 22.000 m³/año si son actividades industriales del Anexo 3 de la Ley 10/1993, o produzcan vertidos líquidos industriales sujetos a autorización de vertido.</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3240"/>
        <w:gridCol w:w="3240"/>
        <w:gridCol w:w="4200"/>
      </w:tblGrid>
      <w:tr>
        <w:tc>
          <w:tcPr>
            <w:tcW w:type="dxa" w:w="13680"/>
            <w:gridSpan w:val="4"/>
            <w:tcBorders>
              <w:top w:val="single" w:color="CCCCCC" w:sz="4"/>
              <w:left w:val="single" w:color="CCCCCC" w:sz="4"/>
              <w:bottom w:val="single" w:color="CCCCCC" w:sz="4"/>
              <w:right w:val="single" w:color="CCCCCC" w:sz="4"/>
            </w:tcBorders>
            <w:shd w:fill="641E1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DEPURACIÓN — Casos especiales de autoabastecimiento</w:t>
            </w:r>
          </w:p>
        </w:tc>
      </w:tr>
      <w:tr>
        <w:tc>
          <w:tcPr>
            <w:tcW w:type="dxa" w:w="300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Caso</w:t>
            </w:r>
          </w:p>
        </w:tc>
        <w:tc>
          <w:tcPr>
            <w:tcW w:type="dxa" w:w="3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Parte variable</w:t>
            </w:r>
          </w:p>
        </w:tc>
        <w:tc>
          <w:tcPr>
            <w:tcW w:type="dxa" w:w="3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Parte fija</w:t>
            </w:r>
          </w:p>
        </w:tc>
        <w:tc>
          <w:tcPr>
            <w:tcW w:type="dxa" w:w="420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Observaciones</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Autoabastecimiento con contador (parcial o total)</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Igual que art. 4.1 (bloques normales)</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Igual que art. 4.2 (fórmulas normales)</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 aplican los mismos bloques y cuotas que para suministro normal</w:t>
            </w:r>
          </w:p>
        </w:tc>
      </w:tr>
      <w:tr>
        <w:tc>
          <w:tcPr>
            <w:tcW w:type="dxa" w:w="300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Autoabastecimiento por pozo sin contador (parte fija)</w:t>
            </w:r>
          </w:p>
        </w:tc>
        <w:tc>
          <w:tcPr>
            <w:tcW w:type="dxa" w:w="324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Según art. 3.3 del Decreto 154/1997</w:t>
            </w:r>
          </w:p>
        </w:tc>
        <w:tc>
          <w:tcPr>
            <w:tcW w:type="dxa" w:w="324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Ø = diámetro interior tubería de impulsión (o diámetro equivalente si es canal)</w:t>
            </w:r>
          </w:p>
        </w:tc>
        <w:tc>
          <w:tcPr>
            <w:tcW w:type="dxa" w:w="420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 volumen abastecido se determina según procedimientos del Decreto 154/1997</w:t>
            </w:r>
          </w:p>
        </w:tc>
      </w:tr>
      <w:tr>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Autoabastecimiento doméstico/asim. doméstico sin contador (parte fija)</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3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Tarifa fija bimestral máxima: 23,93 €/N</w:t>
            </w:r>
          </w:p>
        </w:tc>
        <w:tc>
          <w:tcPr>
            <w:tcW w:type="dxa" w:w="4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Si hay N &gt; 1 usuarios, la tarifa se multiplica por N; se factura al colectivo o comunidad</w:t>
            </w:r>
          </w:p>
        </w:tc>
      </w:tr>
      <w:tr>
        <w:tc>
          <w:tcPr>
            <w:tcW w:type="dxa" w:w="300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Solicitud de instalación de contador</w:t>
            </w:r>
          </w:p>
        </w:tc>
        <w:tc>
          <w:tcPr>
            <w:tcW w:type="dxa" w:w="324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Posible en cualquier momento</w:t>
            </w:r>
          </w:p>
        </w:tc>
        <w:tc>
          <w:tcPr>
            <w:tcW w:type="dxa" w:w="324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Usuario puede solicitar contador a Canal de Isabel II, S.A.</w:t>
            </w:r>
          </w:p>
        </w:tc>
        <w:tc>
          <w:tcPr>
            <w:tcW w:type="dxa" w:w="4200"/>
            <w:gridSpan w:val="1"/>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 partir de su instalación se aplican los arts. 4.1 y 4.2 normales</w:t>
            </w:r>
          </w:p>
        </w:tc>
      </w:tr>
    </w:tbl>
    <w:p>
      <w:pPr>
        <w:spacing w:after="80" w:before="80"/>
      </w:pPr>
      <w:r>
        <w:t xml:space="preserve"/>
      </w:r>
    </w:p>
    <w:p>
      <w:r>
        <w:br w:type="page"/>
      </w:r>
    </w:p>
    <w:p>
      <w:pPr>
        <w:pBdr>
          <w:bottom w:val="single" w:color="D6E4F0" w:sz="6"/>
        </w:pBdr>
        <w:spacing w:after="100" w:before="300"/>
      </w:pPr>
      <w:r>
        <w:rPr>
          <w:rFonts w:ascii="Arial" w:cs="Arial" w:eastAsia="Arial" w:hAnsi="Arial"/>
          <w:b/>
          <w:bCs/>
          <w:color w:val="2E75B6"/>
          <w:sz w:val="24"/>
          <w:szCs w:val="24"/>
        </w:rPr>
        <w:t xml:space="preserve">5. Servicio de Regeneración — Parte variable y cuota de servicio (art. 7.5)</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120"/>
        <w:gridCol w:w="2120"/>
        <w:gridCol w:w="2120"/>
        <w:gridCol w:w="4120"/>
      </w:tblGrid>
      <w:tr>
        <w:tc>
          <w:tcPr>
            <w:tcW w:type="dxa" w:w="13680"/>
            <w:gridSpan w:val="5"/>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DE REGENERACIÓN — Parte Variable (bloques según diámetro, estructura DECRECIENTE)</w:t>
            </w:r>
          </w:p>
        </w:tc>
      </w:tr>
      <w:tr>
        <w:tc>
          <w:tcPr>
            <w:tcW w:type="dxa" w:w="320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 de uso / Bloque</w:t>
            </w:r>
          </w:p>
        </w:tc>
        <w:tc>
          <w:tcPr>
            <w:tcW w:type="dxa" w:w="212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Límite (m³/bimestre)</w:t>
            </w:r>
          </w:p>
        </w:tc>
        <w:tc>
          <w:tcPr>
            <w:tcW w:type="dxa" w:w="212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Invierno (€/m³)</w:t>
            </w:r>
          </w:p>
        </w:tc>
        <w:tc>
          <w:tcPr>
            <w:tcW w:type="dxa" w:w="212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Verano (€/m³)</w:t>
            </w:r>
          </w:p>
        </w:tc>
        <w:tc>
          <w:tcPr>
            <w:tcW w:type="dxa" w:w="412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Cuota de servicio (parte fija)</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Todos los suministros — 1º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Hasta límite tabla (ver abajo)</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0,3976</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E8D5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Para todos los suministros:</w:t>
            </w:r>
          </w:p>
        </w:tc>
      </w:tr>
      <w:tr>
        <w:tc>
          <w:tcPr>
            <w:tcW w:type="dxa" w:w="3200"/>
            <w:gridSpan w:val="1"/>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Todos los suministros — 2º bloque</w:t>
            </w:r>
          </w:p>
        </w:tc>
        <w:tc>
          <w:tcPr>
            <w:tcW w:type="dxa" w:w="2120"/>
            <w:gridSpan w:val="1"/>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Hasta 2º límite tabla</w:t>
            </w:r>
          </w:p>
        </w:tc>
        <w:tc>
          <w:tcPr>
            <w:tcW w:type="dxa" w:w="2120"/>
            <w:gridSpan w:val="1"/>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0,3677</w:t>
            </w:r>
          </w:p>
        </w:tc>
        <w:tc>
          <w:tcPr>
            <w:tcW w:type="dxa" w:w="2120"/>
            <w:gridSpan w:val="1"/>
            <w:tcBorders>
              <w:top w:val="single" w:color="CCCCCC" w:sz="4"/>
              <w:left w:val="single" w:color="CCCCCC" w:sz="4"/>
              <w:bottom w:val="single" w:color="CCCCCC" w:sz="4"/>
              <w:right w:val="single" w:color="CCCCCC" w:sz="4"/>
            </w:tcBorders>
            <w:shd w:fill="F5EEF8"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E8D5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CRG × (Ø² + 225 × N)</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Todos los suministros — 3º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Resto</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0,3388</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E8D5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CRG = 0,0183</w:t>
            </w:r>
          </w:p>
        </w:tc>
      </w:tr>
    </w:tbl>
    <w:p>
      <w:pPr>
        <w:spacing w:after="80" w:before="80"/>
      </w:pPr>
      <w:r>
        <w:t xml:space="preserve"/>
      </w:r>
    </w:p>
    <w:p>
      <w:pPr>
        <w:spacing w:after="60" w:before="60"/>
        <w:ind w:left="200"/>
      </w:pPr>
      <w:r>
        <w:rPr>
          <w:rFonts w:ascii="Arial" w:cs="Arial" w:eastAsia="Arial" w:hAnsi="Arial"/>
          <w:color w:val="5D6D7E"/>
          <w:sz w:val="16"/>
          <w:szCs w:val="16"/>
        </w:rPr>
        <w:t xml:space="preserve">ⓘ  IMPORTANTE: La estructura tarifaria de la regeneración es DECRECIENTE (mayor consumo = menor precio unitario), al contrario que el abastecimiento, para fomentar la reutilización del agua.</w:t>
      </w:r>
    </w:p>
    <w:p>
      <w:pPr>
        <w:spacing w:after="60" w:before="60"/>
        <w:ind w:left="200"/>
      </w:pPr>
      <w:r>
        <w:rPr>
          <w:rFonts w:ascii="Arial" w:cs="Arial" w:eastAsia="Arial" w:hAnsi="Arial"/>
          <w:color w:val="5D6D7E"/>
          <w:sz w:val="16"/>
          <w:szCs w:val="16"/>
        </w:rPr>
        <w:t xml:space="preserve">ⓘ  Solo aplica a usuarios con consumo bimestral inferior a 150.000 m³.</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6. Servicio de Transporte — Parte variable y cuota de servicio (art. 7.6)</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2120"/>
        <w:gridCol w:w="2120"/>
        <w:gridCol w:w="2120"/>
        <w:gridCol w:w="4120"/>
      </w:tblGrid>
      <w:tr>
        <w:tc>
          <w:tcPr>
            <w:tcW w:type="dxa" w:w="13680"/>
            <w:gridSpan w:val="5"/>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 DE TRANSPORTE — Parte Variable (bloques según diámetro, mismos límites que Regeneración)</w:t>
            </w:r>
          </w:p>
        </w:tc>
      </w:tr>
      <w:tr>
        <w:tc>
          <w:tcPr>
            <w:tcW w:type="dxa" w:w="320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Grupo de uso / Bloque</w:t>
            </w:r>
          </w:p>
        </w:tc>
        <w:tc>
          <w:tcPr>
            <w:tcW w:type="dxa" w:w="212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Límite (m³/bimestre)</w:t>
            </w:r>
          </w:p>
        </w:tc>
        <w:tc>
          <w:tcPr>
            <w:tcW w:type="dxa" w:w="212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Invierno (€/m³)</w:t>
            </w:r>
          </w:p>
        </w:tc>
        <w:tc>
          <w:tcPr>
            <w:tcW w:type="dxa" w:w="212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Precio Verano (€/m³)</w:t>
            </w:r>
          </w:p>
        </w:tc>
        <w:tc>
          <w:tcPr>
            <w:tcW w:type="dxa" w:w="412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Cuota de servicio (parte fija)</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Todos los suministros — 1º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que Regeneración</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0,1281</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D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Para todos los suministros:</w:t>
            </w:r>
          </w:p>
        </w:tc>
      </w:tr>
      <w:tr>
        <w:tc>
          <w:tcPr>
            <w:tcW w:type="dxa" w:w="3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Todos los suministros — 2º bloque</w:t>
            </w:r>
          </w:p>
        </w:tc>
        <w:tc>
          <w:tcPr>
            <w:tcW w:type="dxa" w:w="212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que Regeneración</w:t>
            </w:r>
          </w:p>
        </w:tc>
        <w:tc>
          <w:tcPr>
            <w:tcW w:type="dxa" w:w="212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0,1070</w:t>
            </w:r>
          </w:p>
        </w:tc>
        <w:tc>
          <w:tcPr>
            <w:tcW w:type="dxa" w:w="212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D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CTR × (Ø² + 225 × N)</w:t>
            </w:r>
          </w:p>
        </w:tc>
      </w:tr>
      <w:tr>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Todos los suministros — 3º bloque</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Igual que Regeneración</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0,0849</w:t>
            </w:r>
          </w:p>
        </w:tc>
        <w:tc>
          <w:tcPr>
            <w:tcW w:type="dxa" w:w="2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 Inv</w:t>
            </w:r>
          </w:p>
        </w:tc>
        <w:tc>
          <w:tcPr>
            <w:tcW w:type="dxa" w:w="4120"/>
            <w:gridSpan w:val="1"/>
            <w:tcBorders>
              <w:top w:val="single" w:color="CCCCCC" w:sz="4"/>
              <w:left w:val="single" w:color="CCCCCC" w:sz="4"/>
              <w:bottom w:val="single" w:color="CCCCCC" w:sz="4"/>
              <w:right w:val="single" w:color="CCCCCC" w:sz="4"/>
            </w:tcBorders>
            <w:shd w:fill="D5D8D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CTR = 0,0083</w:t>
            </w:r>
          </w:p>
        </w:tc>
      </w:tr>
    </w:tbl>
    <w:p>
      <w:pPr>
        <w:spacing w:after="80" w:before="80"/>
      </w:pPr>
      <w:r>
        <w:t xml:space="preserve"/>
      </w:r>
    </w:p>
    <w:p>
      <w:pPr>
        <w:spacing w:after="60" w:before="60"/>
        <w:ind w:left="200"/>
      </w:pPr>
      <w:r>
        <w:rPr>
          <w:rFonts w:ascii="Arial" w:cs="Arial" w:eastAsia="Arial" w:hAnsi="Arial"/>
          <w:color w:val="5D6D7E"/>
          <w:sz w:val="16"/>
          <w:szCs w:val="16"/>
        </w:rPr>
        <w:t xml:space="preserve">ⓘ  El transporte tiene la misma estructura de bloques que la regeneración y también es DECRECIENTE (mayor uso del agua regenerada, menor coste unitario de transporte).</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6a. Límites de bloques según diámetro — Regeneración y Transporte</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210"/>
        <w:gridCol w:w="1210"/>
        <w:gridCol w:w="1210"/>
        <w:gridCol w:w="1210"/>
        <w:gridCol w:w="1210"/>
        <w:gridCol w:w="1210"/>
        <w:gridCol w:w="1210"/>
        <w:gridCol w:w="1210"/>
        <w:gridCol w:w="1210"/>
        <w:gridCol w:w="1390"/>
      </w:tblGrid>
      <w:tr>
        <w:tc>
          <w:tcPr>
            <w:tcW w:type="dxa" w:w="13680"/>
            <w:gridSpan w:val="1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LÍMITES DE BLOQUES — Regeneración y Transporte (m³/bimestre)</w:t>
            </w:r>
          </w:p>
        </w:tc>
      </w:tr>
      <w:tr>
        <w:tc>
          <w:tcPr>
            <w:tcW w:type="dxa" w:w="160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Concepto</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≤15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20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25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30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40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50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65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80 mm</w:t>
            </w:r>
          </w:p>
        </w:tc>
        <w:tc>
          <w:tcPr>
            <w:tcW w:type="dxa" w:w="121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100 mm</w:t>
            </w:r>
          </w:p>
        </w:tc>
        <w:tc>
          <w:tcPr>
            <w:tcW w:type="dxa" w:w="139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Ø &gt;100 mm</w:t>
            </w:r>
          </w:p>
        </w:tc>
      </w:tr>
      <w:tr>
        <w:tc>
          <w:tcPr>
            <w:tcW w:type="dxa" w:w="1600"/>
            <w:gridSpan w:val="1"/>
            <w:tcBorders>
              <w:top w:val="single" w:color="CCCCCC" w:sz="4"/>
              <w:left w:val="single" w:color="CCCCCC" w:sz="4"/>
              <w:bottom w:val="single" w:color="CCCCCC" w:sz="4"/>
              <w:right w:val="single" w:color="CCCCCC" w:sz="4"/>
            </w:tcBorders>
            <w:shd w:fill="E8D5F0"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1º bloque hasta (m³/bim.)</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1350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2400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2700</w:t>
            </w:r>
          </w:p>
        </w:tc>
        <w:tc>
          <w:tcPr>
            <w:tcW w:type="dxa" w:w="139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2700</w:t>
            </w:r>
          </w:p>
        </w:tc>
      </w:tr>
      <w:tr>
        <w:tc>
          <w:tcPr>
            <w:tcW w:type="dxa" w:w="1600"/>
            <w:gridSpan w:val="1"/>
            <w:tcBorders>
              <w:top w:val="single" w:color="CCCCCC" w:sz="4"/>
              <w:left w:val="single" w:color="CCCCCC" w:sz="4"/>
              <w:bottom w:val="single" w:color="CCCCCC" w:sz="4"/>
              <w:right w:val="single" w:color="CCCCCC" w:sz="4"/>
            </w:tcBorders>
            <w:shd w:fill="E8D5F0"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2º bloque hasta (m³/bim.)</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600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1800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4200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5400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7200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9600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10800</w:t>
            </w:r>
          </w:p>
        </w:tc>
        <w:tc>
          <w:tcPr>
            <w:tcW w:type="dxa" w:w="121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10800</w:t>
            </w:r>
          </w:p>
        </w:tc>
        <w:tc>
          <w:tcPr>
            <w:tcW w:type="dxa" w:w="139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10800</w:t>
            </w:r>
          </w:p>
        </w:tc>
      </w:tr>
    </w:tbl>
    <w:p>
      <w:pPr>
        <w:spacing w:after="80" w:before="80"/>
      </w:pPr>
      <w:r>
        <w:t xml:space="preserve"/>
      </w:r>
    </w:p>
    <w:p>
      <w:r>
        <w:br w:type="page"/>
      </w:r>
    </w:p>
    <w:p>
      <w:pPr>
        <w:pBdr>
          <w:bottom w:val="single" w:color="D6E4F0" w:sz="6"/>
        </w:pBdr>
        <w:spacing w:after="100" w:before="300"/>
      </w:pPr>
      <w:r>
        <w:rPr>
          <w:rFonts w:ascii="Arial" w:cs="Arial" w:eastAsia="Arial" w:hAnsi="Arial"/>
          <w:b/>
          <w:bCs/>
          <w:color w:val="2E75B6"/>
          <w:sz w:val="24"/>
          <w:szCs w:val="24"/>
        </w:rPr>
        <w:t xml:space="preserve">7. Cuota de servicio (parte fija) — Fórmulas detalladas por servicio</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480"/>
        <w:gridCol w:w="2480"/>
        <w:gridCol w:w="3160"/>
        <w:gridCol w:w="3080"/>
      </w:tblGrid>
      <w:tr>
        <w:tc>
          <w:tcPr>
            <w:tcW w:type="dxa" w:w="13680"/>
            <w:gridSpan w:val="5"/>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CUOTA DE SERVICIO (PARTE FIJA) — Fórmulas y coeficientes por servicio</w:t>
            </w:r>
          </w:p>
        </w:tc>
      </w:tr>
      <w:tr>
        <w:tc>
          <w:tcPr>
            <w:tcW w:type="dxa" w:w="24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Servicio</w:t>
            </w:r>
          </w:p>
        </w:tc>
        <w:tc>
          <w:tcPr>
            <w:tcW w:type="dxa" w:w="24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Coeficiente (CX)</w:t>
            </w:r>
          </w:p>
        </w:tc>
        <w:tc>
          <w:tcPr>
            <w:tcW w:type="dxa" w:w="24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Aplicación</w:t>
            </w:r>
          </w:p>
        </w:tc>
        <w:tc>
          <w:tcPr>
            <w:tcW w:type="dxa" w:w="316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Fórmula</w:t>
            </w:r>
          </w:p>
        </w:tc>
        <w:tc>
          <w:tcPr>
            <w:tcW w:type="dxa" w:w="30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Observaciones</w:t>
            </w:r>
          </w:p>
        </w:tc>
      </w:tr>
      <w:tr>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Aducción</w:t>
            </w:r>
          </w:p>
        </w:tc>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CAD = 0,0183</w:t>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Plurivivienda</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CAD × (15² + 225) × N = CAD × 450 × N</w:t>
            </w:r>
          </w:p>
        </w:tc>
        <w:tc>
          <w:tcPr>
            <w:tcW w:type="dxa" w:w="3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 = nº total de viviendas, locales y usos comunes del contador</w:t>
            </w:r>
          </w:p>
        </w:tc>
      </w:tr>
      <w:tr>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Resto de suministros</w:t>
            </w:r>
          </w:p>
        </w:tc>
        <w:tc>
          <w:tcPr>
            <w:tcW w:type="dxa" w:w="316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CAD × (Ø² + 225 × N)</w:t>
            </w:r>
          </w:p>
        </w:tc>
        <w:tc>
          <w:tcPr>
            <w:tcW w:type="dxa" w:w="30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Ø = diámetro contador en mm</w:t>
            </w:r>
          </w:p>
        </w:tc>
      </w:tr>
      <w:tr>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Distribución</w:t>
            </w:r>
          </w:p>
        </w:tc>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CDT = 0,0083</w:t>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Plurivivienda</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CDT × (15² + 225) × N = CDT × 450 × N</w:t>
            </w:r>
          </w:p>
        </w:tc>
        <w:tc>
          <w:tcPr>
            <w:tcW w:type="dxa" w:w="3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Igual lógica que aducción</w:t>
            </w:r>
          </w:p>
        </w:tc>
      </w:tr>
      <w:tr>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Resto de suministros</w:t>
            </w:r>
          </w:p>
        </w:tc>
        <w:tc>
          <w:tcPr>
            <w:tcW w:type="dxa" w:w="316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CDT × (Ø² + 225 × N)</w:t>
            </w:r>
          </w:p>
        </w:tc>
        <w:tc>
          <w:tcPr>
            <w:tcW w:type="dxa" w:w="30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w:r>
          </w:p>
        </w:tc>
      </w:tr>
      <w:tr>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Alcantarillado</w:t>
            </w:r>
          </w:p>
        </w:tc>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CAL = 1,1402</w:t>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Usos domésticos</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CAL × N</w:t>
            </w:r>
          </w:p>
        </w:tc>
        <w:tc>
          <w:tcPr>
            <w:tcW w:type="dxa" w:w="3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 = nº viviendas, locales y usos comunes</w:t>
            </w:r>
          </w:p>
        </w:tc>
      </w:tr>
      <w:tr>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Resto de usos</w:t>
            </w:r>
          </w:p>
        </w:tc>
        <w:tc>
          <w:tcPr>
            <w:tcW w:type="dxa" w:w="316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CAL × Ø² / 100</w:t>
            </w:r>
          </w:p>
        </w:tc>
        <w:tc>
          <w:tcPr>
            <w:tcW w:type="dxa" w:w="30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w:r>
          </w:p>
        </w:tc>
      </w:tr>
      <w:tr>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Depuración</w:t>
            </w:r>
          </w:p>
        </w:tc>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CDP = 3,1527</w:t>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Usos domésticos / asimilados</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CDP × N</w:t>
            </w:r>
          </w:p>
        </w:tc>
        <w:tc>
          <w:tcPr>
            <w:tcW w:type="dxa" w:w="3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w:r>
          </w:p>
        </w:tc>
      </w:tr>
      <w:tr>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
            </w:r>
          </w:p>
        </w:tc>
        <w:tc>
          <w:tcPr>
            <w:tcW w:type="dxa" w:w="24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 / asim. com. / ind. / otros</w:t>
            </w:r>
          </w:p>
        </w:tc>
        <w:tc>
          <w:tcPr>
            <w:tcW w:type="dxa" w:w="316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CDP × Ø² / 100</w:t>
            </w:r>
          </w:p>
        </w:tc>
        <w:tc>
          <w:tcPr>
            <w:tcW w:type="dxa" w:w="30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Actividades contaminantes × coef. K (Decreto 154/1997)</w:t>
            </w:r>
          </w:p>
        </w:tc>
      </w:tr>
      <w:tr>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Regeneración</w:t>
            </w:r>
          </w:p>
        </w:tc>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CRG = 0,0183</w:t>
            </w:r>
          </w:p>
        </w:tc>
        <w:tc>
          <w:tcPr>
            <w:tcW w:type="dxa" w:w="24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Todos los suministros</w:t>
            </w:r>
          </w:p>
        </w:tc>
        <w:tc>
          <w:tcPr>
            <w:tcW w:type="dxa" w:w="3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CRG × (Ø² + 225 × N)</w:t>
            </w:r>
          </w:p>
        </w:tc>
        <w:tc>
          <w:tcPr>
            <w:tcW w:type="dxa" w:w="3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w:r>
          </w:p>
        </w:tc>
      </w:tr>
      <w:tr>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Transporte</w:t>
            </w:r>
          </w:p>
        </w:tc>
        <w:tc>
          <w:tcPr>
            <w:tcW w:type="dxa" w:w="2480"/>
            <w:gridSpan w:val="1"/>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7"/>
                <w:szCs w:val="17"/>
              </w:rPr>
              <w:t xml:space="preserve">CTR = 0,0083</w:t>
            </w:r>
          </w:p>
        </w:tc>
        <w:tc>
          <w:tcPr>
            <w:tcW w:type="dxa" w:w="24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Todos los suministros</w:t>
            </w:r>
          </w:p>
        </w:tc>
        <w:tc>
          <w:tcPr>
            <w:tcW w:type="dxa" w:w="316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CTR × (Ø² + 225 × N)</w:t>
            </w:r>
          </w:p>
        </w:tc>
        <w:tc>
          <w:tcPr>
            <w:tcW w:type="dxa" w:w="308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
            </w:r>
          </w:p>
        </w:tc>
      </w:tr>
    </w:tbl>
    <w:p>
      <w:pPr>
        <w:spacing w:after="80" w:before="80"/>
      </w:pPr>
      <w:r>
        <w:t xml:space="preserve"/>
      </w:r>
    </w:p>
    <w:p>
      <w:pPr>
        <w:spacing w:after="60" w:before="60"/>
        <w:ind w:left="200"/>
      </w:pPr>
      <w:r>
        <w:rPr>
          <w:rFonts w:ascii="Arial" w:cs="Arial" w:eastAsia="Arial" w:hAnsi="Arial"/>
          <w:color w:val="5D6D7E"/>
          <w:sz w:val="16"/>
          <w:szCs w:val="16"/>
        </w:rPr>
        <w:t xml:space="preserve">ⓘ  Ø = diámetro del contador instalado (mm). Si no existe contador, se toma el calibre de la acometida hasta que se instale.</w:t>
      </w:r>
    </w:p>
    <w:p>
      <w:pPr>
        <w:spacing w:after="60" w:before="60"/>
        <w:ind w:left="200"/>
      </w:pPr>
      <w:r>
        <w:rPr>
          <w:rFonts w:ascii="Arial" w:cs="Arial" w:eastAsia="Arial" w:hAnsi="Arial"/>
          <w:color w:val="5D6D7E"/>
          <w:sz w:val="16"/>
          <w:szCs w:val="16"/>
        </w:rPr>
        <w:t xml:space="preserve">ⓘ  N = número de viviendas, locales y usos comunes para domésticos; número de usos comunes asimilados para asimilados a doméstico; 1 para el resto (excepto centros comerciales/mercados/galerías con contador único, donde N = número de locales o puestos).</w:t>
      </w:r>
    </w:p>
    <w:p>
      <w:pPr>
        <w:spacing w:after="60" w:before="60"/>
        <w:ind w:left="200"/>
      </w:pPr>
      <w:r>
        <w:rPr>
          <w:rFonts w:ascii="Arial" w:cs="Arial" w:eastAsia="Arial" w:hAnsi="Arial"/>
          <w:color w:val="5D6D7E"/>
          <w:sz w:val="16"/>
          <w:szCs w:val="16"/>
        </w:rPr>
        <w:t xml:space="preserve">ⓘ  Las cuotas de servicio se calculan para períodos de 60 días y deben ajustarse al número de días reales del período a facturar.</w:t>
      </w:r>
    </w:p>
    <w:p>
      <w:pPr>
        <w:spacing w:after="60" w:before="60"/>
        <w:ind w:left="200"/>
      </w:pPr>
      <w:r>
        <w:rPr>
          <w:rFonts w:ascii="Arial" w:cs="Arial" w:eastAsia="Arial" w:hAnsi="Arial"/>
          <w:color w:val="5D6D7E"/>
          <w:sz w:val="16"/>
          <w:szCs w:val="16"/>
        </w:rPr>
        <w:t xml:space="preserve">ⓘ  El resultado se expresa en euros redondeando al segundo decimal.</w:t>
      </w:r>
    </w:p>
    <w:p>
      <w:pPr>
        <w:spacing w:after="80" w:before="80"/>
      </w:pPr>
      <w:r>
        <w:t xml:space="preserve"/>
      </w:r>
    </w:p>
    <w:p>
      <w:pPr>
        <w:spacing w:after="60" w:before="60"/>
        <w:ind w:left="200"/>
      </w:pPr>
      <w:r>
        <w:rPr>
          <w:rFonts w:ascii="Arial" w:cs="Arial" w:eastAsia="Arial" w:hAnsi="Arial"/>
          <w:color w:val="5D6D7E"/>
          <w:sz w:val="16"/>
          <w:szCs w:val="16"/>
        </w:rPr>
        <w:t xml:space="preserve">ⓘ  Casos especiales de cuota de servicio: En suministros de plurivivienda con cuota suplementaria aprobada por el Consejo de Gobierno para la renovación de la red interna, no se facturan cuotas de servicio al contador general 'colectivo principal'. En los contadores 'divisionario principal', tampoco se facturan cuotas de servicio cuando todos los contadores divisionarios secundarios que dependen de él estén contratados en su totalidad.</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8. Resumen comparativo de todos los servicios</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240"/>
        <w:gridCol w:w="1240"/>
        <w:gridCol w:w="1240"/>
        <w:gridCol w:w="1240"/>
        <w:gridCol w:w="1240"/>
        <w:gridCol w:w="1240"/>
        <w:gridCol w:w="1240"/>
        <w:gridCol w:w="1240"/>
        <w:gridCol w:w="1560"/>
      </w:tblGrid>
      <w:tr>
        <w:tc>
          <w:tcPr>
            <w:tcW w:type="dxa" w:w="13680"/>
            <w:gridSpan w:val="1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RESUMEN COMPARATIVO DE TODOS LOS SERVICIOS — Precios unitarios (€/m³)</w:t>
            </w:r>
          </w:p>
        </w:tc>
      </w:tr>
      <w:tr>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Servicio</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Grupo de uso</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1º Bloque (€/m³)</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2º Bloque Inv (€/m³)</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2º Bloque Ver (€/m³)</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3º Bloque Inv (€/m³)</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3º Bloque Ver (€/m³)</w:t>
            </w:r>
          </w:p>
        </w:tc>
        <w:tc>
          <w:tcPr>
            <w:tcW w:type="dxa" w:w="124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Coef. cuota servicio</w:t>
            </w:r>
          </w:p>
        </w:tc>
        <w:tc>
          <w:tcPr>
            <w:tcW w:type="dxa" w:w="2800"/>
            <w:gridSpan w:val="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Fórmula cuota servicio (bimestral)</w:t>
            </w:r>
          </w:p>
        </w:tc>
      </w:tr>
      <w:tr>
        <w:tc>
          <w:tcPr>
            <w:tcW w:type="dxa" w:w="220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Aducción</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val="false"/>
                <w:bCs w:val="false"/>
                <w:color w:val="FFFFFF"/>
                <w:sz w:val="15"/>
                <w:szCs w:val="15"/>
              </w:rPr>
              <w:t xml:space="preserve">Dom/AsimDom</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0,3066</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0,5671</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0,7089</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1,3612</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2,0417</w:t>
            </w:r>
          </w:p>
        </w:tc>
        <w:tc>
          <w:tcPr>
            <w:tcW w:type="dxa" w:w="124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CAD = 0,0183</w:t>
            </w:r>
          </w:p>
        </w:tc>
        <w:tc>
          <w:tcPr>
            <w:tcW w:type="dxa" w:w="2800"/>
            <w:gridSpan w:val="2"/>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left"/>
            </w:pPr>
            <w:r>
              <w:rPr>
                <w:rFonts w:ascii="Arial" w:cs="Arial" w:eastAsia="Arial" w:hAnsi="Arial"/>
                <w:b w:val="false"/>
                <w:bCs w:val="false"/>
                <w:color w:val="FFFFFF"/>
                <w:sz w:val="14"/>
                <w:szCs w:val="14"/>
              </w:rPr>
              <w:t xml:space="preserve">Doméstico/plurivivienda: CX × (15² + 225) × N</w:t>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Com/AsimCom/Ind</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0,4195</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0,5671</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0,7089</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1,0219</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1,5328</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Resto: CX × (Ø² + 225 × 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Riegos Públicos</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0,4195</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0,5671</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0,7089</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1,1570</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1,7354</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Otros</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0,4195</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0,5671</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0,7089</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1,3612</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2,0417</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Distribución</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left"/>
            </w:pPr>
            <w:r>
              <w:rPr>
                <w:rFonts w:ascii="Arial" w:cs="Arial" w:eastAsia="Arial" w:hAnsi="Arial"/>
                <w:b w:val="false"/>
                <w:bCs w:val="false"/>
                <w:color w:val="FFFFFF"/>
                <w:sz w:val="15"/>
                <w:szCs w:val="15"/>
              </w:rPr>
              <w:t xml:space="preserve">Dom/AsimDom/Otros</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0,1381</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0,2176</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0,5187</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CDT = 0,0083</w:t>
            </w:r>
          </w:p>
        </w:tc>
        <w:tc>
          <w:tcPr>
            <w:tcW w:type="dxa" w:w="2800"/>
            <w:gridSpan w:val="2"/>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left"/>
            </w:pPr>
            <w:r>
              <w:rPr>
                <w:rFonts w:ascii="Arial" w:cs="Arial" w:eastAsia="Arial" w:hAnsi="Arial"/>
                <w:b w:val="false"/>
                <w:bCs w:val="false"/>
                <w:color w:val="FFFFFF"/>
                <w:sz w:val="14"/>
                <w:szCs w:val="14"/>
              </w:rPr>
              <w:t xml:space="preserve">Doméstico/plurivivienda: CX × (15² + 225) × N</w:t>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Com/AsimCom/Ind</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0,1381*</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0,2176*</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0,5187*</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Resto: CX × (Ø² + 225 × 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Riegos Públicos</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0,1381*</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0,2176*</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0,5187*</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Alcantarillado</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left"/>
            </w:pPr>
            <w:r>
              <w:rPr>
                <w:rFonts w:ascii="Arial" w:cs="Arial" w:eastAsia="Arial" w:hAnsi="Arial"/>
                <w:b w:val="false"/>
                <w:bCs w:val="false"/>
                <w:color w:val="FFFFFF"/>
                <w:sz w:val="15"/>
                <w:szCs w:val="15"/>
              </w:rPr>
              <w:t xml:space="preserve">Dom/AsimDom/Com/Ind/Otros</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0,1131</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0,1243</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0,1521</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CAL = 1,1402</w:t>
            </w:r>
          </w:p>
        </w:tc>
        <w:tc>
          <w:tcPr>
            <w:tcW w:type="dxa" w:w="2800"/>
            <w:gridSpan w:val="2"/>
            <w:tcBorders>
              <w:top w:val="single" w:color="CCCCCC" w:sz="4"/>
              <w:left w:val="single" w:color="CCCCCC" w:sz="4"/>
              <w:bottom w:val="single" w:color="CCCCCC" w:sz="4"/>
              <w:right w:val="single" w:color="CCCCCC" w:sz="4"/>
            </w:tcBorders>
            <w:shd w:fill="C06000" w:val="clear"/>
            <w:tcMar>
              <w:top w:type="dxa" w:w="80"/>
              <w:left w:type="dxa" w:w="120"/>
              <w:bottom w:type="dxa" w:w="80"/>
              <w:right w:type="dxa" w:w="120"/>
            </w:tcMar>
            <w:vAlign w:val="center"/>
          </w:tcPr>
          <w:p>
            <w:pPr>
              <w:jc w:val="left"/>
            </w:pPr>
            <w:r>
              <w:rPr>
                <w:rFonts w:ascii="Arial" w:cs="Arial" w:eastAsia="Arial" w:hAnsi="Arial"/>
                <w:b w:val="false"/>
                <w:bCs w:val="false"/>
                <w:color w:val="FFFFFF"/>
                <w:sz w:val="14"/>
                <w:szCs w:val="14"/>
              </w:rPr>
              <w:t xml:space="preserve">Doméstico/plurivivienda: CX × (15² + 225) × N</w:t>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Resto: CX × (Ø² + 225 × 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Depuración</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left"/>
            </w:pPr>
            <w:r>
              <w:rPr>
                <w:rFonts w:ascii="Arial" w:cs="Arial" w:eastAsia="Arial" w:hAnsi="Arial"/>
                <w:b w:val="false"/>
                <w:bCs w:val="false"/>
                <w:color w:val="FFFFFF"/>
                <w:sz w:val="15"/>
                <w:szCs w:val="15"/>
              </w:rPr>
              <w:t xml:space="preserve">Dom/AsimDom/Com/Ind/Otros</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0,3129</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0,3575</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0,5458</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CDP = 3,1527</w:t>
            </w:r>
          </w:p>
        </w:tc>
        <w:tc>
          <w:tcPr>
            <w:tcW w:type="dxa" w:w="2800"/>
            <w:gridSpan w:val="2"/>
            <w:tcBorders>
              <w:top w:val="single" w:color="CCCCCC" w:sz="4"/>
              <w:left w:val="single" w:color="CCCCCC" w:sz="4"/>
              <w:bottom w:val="single" w:color="CCCCCC" w:sz="4"/>
              <w:right w:val="single" w:color="CCCCCC" w:sz="4"/>
            </w:tcBorders>
            <w:shd w:fill="C0392B" w:val="clear"/>
            <w:tcMar>
              <w:top w:type="dxa" w:w="80"/>
              <w:left w:type="dxa" w:w="120"/>
              <w:bottom w:type="dxa" w:w="80"/>
              <w:right w:type="dxa" w:w="120"/>
            </w:tcMar>
            <w:vAlign w:val="center"/>
          </w:tcPr>
          <w:p>
            <w:pPr>
              <w:jc w:val="left"/>
            </w:pPr>
            <w:r>
              <w:rPr>
                <w:rFonts w:ascii="Arial" w:cs="Arial" w:eastAsia="Arial" w:hAnsi="Arial"/>
                <w:b w:val="false"/>
                <w:bCs w:val="false"/>
                <w:color w:val="FFFFFF"/>
                <w:sz w:val="14"/>
                <w:szCs w:val="14"/>
              </w:rPr>
              <w:t xml:space="preserve">Doméstico/plurivivienda: CX × (15² + 225) × N</w:t>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(+coef. K si contaminante)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×K</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×K</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16"/>
                <w:szCs w:val="16"/>
              </w:rPr>
              <w:t xml:space="preserve">×K</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Resto: CX × (Ø² + 225 × 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Regeneración</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left"/>
            </w:pPr>
            <w:r>
              <w:rPr>
                <w:rFonts w:ascii="Arial" w:cs="Arial" w:eastAsia="Arial" w:hAnsi="Arial"/>
                <w:b w:val="false"/>
                <w:bCs w:val="false"/>
                <w:color w:val="FFFFFF"/>
                <w:sz w:val="15"/>
                <w:szCs w:val="15"/>
              </w:rPr>
              <w:t xml:space="preserve">Todos (consumo bim. &lt; 150.000 m³)</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0,3976</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0,3677</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0,3388</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CRG = 0,0183</w:t>
            </w:r>
          </w:p>
        </w:tc>
        <w:tc>
          <w:tcPr>
            <w:tcW w:type="dxa" w:w="2800"/>
            <w:gridSpan w:val="2"/>
            <w:tcBorders>
              <w:top w:val="single" w:color="CCCCCC" w:sz="4"/>
              <w:left w:val="single" w:color="CCCCCC" w:sz="4"/>
              <w:bottom w:val="single" w:color="CCCCCC" w:sz="4"/>
              <w:right w:val="single" w:color="CCCCCC" w:sz="4"/>
            </w:tcBorders>
            <w:shd w:fill="7D3C98" w:val="clear"/>
            <w:tcMar>
              <w:top w:type="dxa" w:w="80"/>
              <w:left w:type="dxa" w:w="120"/>
              <w:bottom w:type="dxa" w:w="80"/>
              <w:right w:type="dxa" w:w="120"/>
            </w:tcMar>
            <w:vAlign w:val="center"/>
          </w:tcPr>
          <w:p>
            <w:pPr>
              <w:jc w:val="left"/>
            </w:pPr>
            <w:r>
              <w:rPr>
                <w:rFonts w:ascii="Arial" w:cs="Arial" w:eastAsia="Arial" w:hAnsi="Arial"/>
                <w:b w:val="false"/>
                <w:bCs w:val="false"/>
                <w:color w:val="FFFFFF"/>
                <w:sz w:val="14"/>
                <w:szCs w:val="14"/>
              </w:rPr>
              <w:t xml:space="preserve">Doméstico/plurivivienda: CX × (15² + 225) × N</w:t>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Resto: CX × (Ø² + 225 × 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Transporte</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left"/>
            </w:pPr>
            <w:r>
              <w:rPr>
                <w:rFonts w:ascii="Arial" w:cs="Arial" w:eastAsia="Arial" w:hAnsi="Arial"/>
                <w:b w:val="false"/>
                <w:bCs w:val="false"/>
                <w:color w:val="FFFFFF"/>
                <w:sz w:val="15"/>
                <w:szCs w:val="15"/>
              </w:rPr>
              <w:t xml:space="preserve">Todos (bloques = Regeneración)</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0,1281</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0,1070</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6"/>
                <w:szCs w:val="16"/>
              </w:rPr>
              <w:t xml:space="preserve">0,0849</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val="false"/>
                <w:bCs w:val="false"/>
                <w:color w:val="FFFFFF"/>
                <w:sz w:val="16"/>
                <w:szCs w:val="16"/>
              </w:rPr>
              <w:t xml:space="preserve">=Inv</w:t>
            </w:r>
          </w:p>
        </w:tc>
        <w:tc>
          <w:tcPr>
            <w:tcW w:type="dxa" w:w="1240"/>
            <w:gridSpan w:val="1"/>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center"/>
            </w:pPr>
            <w:r>
              <w:rPr>
                <w:rFonts w:ascii="Arial" w:cs="Arial" w:eastAsia="Arial" w:hAnsi="Arial"/>
                <w:b/>
                <w:bCs/>
                <w:color w:val="FFFFFF"/>
                <w:sz w:val="15"/>
                <w:szCs w:val="15"/>
              </w:rPr>
              <w:t xml:space="preserve">CTR = 0,0083</w:t>
            </w:r>
          </w:p>
        </w:tc>
        <w:tc>
          <w:tcPr>
            <w:tcW w:type="dxa" w:w="2800"/>
            <w:gridSpan w:val="2"/>
            <w:tcBorders>
              <w:top w:val="single" w:color="CCCCCC" w:sz="4"/>
              <w:left w:val="single" w:color="CCCCCC" w:sz="4"/>
              <w:bottom w:val="single" w:color="CCCCCC" w:sz="4"/>
              <w:right w:val="single" w:color="CCCCCC" w:sz="4"/>
            </w:tcBorders>
            <w:shd w:fill="5D6D7E" w:val="clear"/>
            <w:tcMar>
              <w:top w:type="dxa" w:w="80"/>
              <w:left w:type="dxa" w:w="120"/>
              <w:bottom w:type="dxa" w:w="80"/>
              <w:right w:type="dxa" w:w="120"/>
            </w:tcMar>
            <w:vAlign w:val="center"/>
          </w:tcPr>
          <w:p>
            <w:pPr>
              <w:jc w:val="left"/>
            </w:pPr>
            <w:r>
              <w:rPr>
                <w:rFonts w:ascii="Arial" w:cs="Arial" w:eastAsia="Arial" w:hAnsi="Arial"/>
                <w:b w:val="false"/>
                <w:bCs w:val="false"/>
                <w:color w:val="FFFFFF"/>
                <w:sz w:val="14"/>
                <w:szCs w:val="14"/>
              </w:rPr>
              <w:t xml:space="preserve">Doméstico/plurivivienda: CX × (15² + 225) × N</w:t>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Resto: CX × (Ø² + 225 × 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r>
        <w:tc>
          <w:tcPr>
            <w:tcW w:type="dxa" w:w="220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6"/>
                <w:szCs w:val="16"/>
              </w:rPr>
              <w:t xml:space="preserve">—</w:t>
            </w:r>
          </w:p>
        </w:tc>
        <w:tc>
          <w:tcPr>
            <w:tcW w:type="dxa" w:w="1240"/>
            <w:gridSpan w:val="1"/>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5"/>
                <w:szCs w:val="15"/>
              </w:rPr>
              <w:t xml:space="preserve"/>
            </w:r>
          </w:p>
        </w:tc>
        <w:tc>
          <w:tcPr>
            <w:tcW w:type="dxa" w:w="2800"/>
            <w:gridSpan w:val="2"/>
            <w:tcBorders>
              <w:top w:val="single" w:color="CCCCCC" w:sz="4"/>
              <w:left w:val="single" w:color="CCCCCC" w:sz="4"/>
              <w:bottom w:val="single" w:color="CCCCCC" w:sz="4"/>
              <w:right w:val="single" w:color="CCCCCC" w:sz="4"/>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
            </w:r>
          </w:p>
        </w:tc>
      </w:tr>
    </w:tbl>
    <w:p>
      <w:pPr>
        <w:spacing w:after="80" w:before="80"/>
      </w:pPr>
      <w:r>
        <w:t xml:space="preserve"/>
      </w:r>
    </w:p>
    <w:p>
      <w:pPr>
        <w:spacing w:after="60" w:before="60"/>
        <w:ind w:left="200"/>
      </w:pPr>
      <w:r>
        <w:rPr>
          <w:rFonts w:ascii="Arial" w:cs="Arial" w:eastAsia="Arial" w:hAnsi="Arial"/>
          <w:color w:val="5D6D7E"/>
          <w:sz w:val="16"/>
          <w:szCs w:val="16"/>
        </w:rPr>
        <w:t xml:space="preserve">ⓘ  * Distribución para usos comerciales, asimilados e industriales aplica los mismos precios del grupo doméstico pero sobre los bloques definidos por el diámetro del contador (tabla 1a).</w:t>
      </w:r>
    </w:p>
    <w:p>
      <w:pPr>
        <w:spacing w:after="60" w:before="60"/>
        <w:ind w:left="200"/>
      </w:pPr>
      <w:r>
        <w:rPr>
          <w:rFonts w:ascii="Arial" w:cs="Arial" w:eastAsia="Arial" w:hAnsi="Arial"/>
          <w:color w:val="5D6D7E"/>
          <w:sz w:val="16"/>
          <w:szCs w:val="16"/>
        </w:rPr>
        <w:t xml:space="preserve">ⓘ  Invierno = 1 octubre – 31 mayo. Verano = 1 junio – 30 septiembre.</w:t>
      </w:r>
    </w:p>
    <w:p>
      <w:pPr>
        <w:spacing w:after="60" w:before="60"/>
        <w:ind w:left="200"/>
      </w:pPr>
      <w:r>
        <w:rPr>
          <w:rFonts w:ascii="Arial" w:cs="Arial" w:eastAsia="Arial" w:hAnsi="Arial"/>
          <w:color w:val="5D6D7E"/>
          <w:sz w:val="16"/>
          <w:szCs w:val="16"/>
        </w:rPr>
        <w:t xml:space="preserve">ⓘ  Los precios indicados son las TARIFAS MÁXIMAS del Decreto 29/2018. Las tarifas realmente aplicadas por Canal de Isabel II, S.A. se recogen en la Orden 1330/2018, de 18 de abril, que puede establecer precios iguales o inferiores a estos máximos.</w:t>
      </w:r>
    </w:p>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9. Suministros de riego sin contador (art. 8)</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2560"/>
        <w:gridCol w:w="2560"/>
        <w:gridCol w:w="5160"/>
      </w:tblGrid>
      <w:tr>
        <w:tc>
          <w:tcPr>
            <w:tcW w:type="dxa" w:w="13680"/>
            <w:gridSpan w:val="4"/>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SUMINISTROS DE RIEGO SIN POSIBILIDAD TÉCNICA DE CONTADOR (art. 8)</w:t>
            </w:r>
          </w:p>
        </w:tc>
      </w:tr>
      <w:tr>
        <w:tc>
          <w:tcPr>
            <w:tcW w:type="dxa" w:w="340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Parámetro</w:t>
            </w:r>
          </w:p>
        </w:tc>
        <w:tc>
          <w:tcPr>
            <w:tcW w:type="dxa" w:w="256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Para parte fija</w:t>
            </w:r>
          </w:p>
        </w:tc>
        <w:tc>
          <w:tcPr>
            <w:tcW w:type="dxa" w:w="256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Para parte variable</w:t>
            </w:r>
          </w:p>
        </w:tc>
        <w:tc>
          <w:tcPr>
            <w:tcW w:type="dxa" w:w="5160"/>
            <w:gridSpan w:val="1"/>
            <w:tcBorders>
              <w:top w:val="single" w:color="CCCCCC" w:sz="4"/>
              <w:left w:val="single" w:color="CCCCCC" w:sz="4"/>
              <w:bottom w:val="single" w:color="CCCCCC" w:sz="4"/>
              <w:right w:val="single" w:color="CCCCCC" w:sz="4"/>
            </w:tcBorders>
            <w:shd w:fill="2D7D4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Detalle</w:t>
            </w:r>
          </w:p>
        </w:tc>
      </w:tr>
      <w:tr>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Sin contador pero con acometida conocida</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Ø = calibre de la acometida</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Estimación según m² y tipo cultivo</w:t>
            </w:r>
          </w:p>
        </w:tc>
        <w:tc>
          <w:tcPr>
            <w:tcW w:type="dxa" w:w="5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 usa el diámetro de la acometida como referencia</w:t>
            </w:r>
          </w:p>
        </w:tc>
      </w:tr>
      <w:tr>
        <w:tc>
          <w:tcPr>
            <w:tcW w:type="dxa" w:w="34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Sin contador ni calibre de acometida conocido</w:t>
            </w:r>
          </w:p>
        </w:tc>
        <w:tc>
          <w:tcPr>
            <w:tcW w:type="dxa" w:w="256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Ø = diámetro del contador que correspondería al caudal necesario</w:t>
            </w:r>
          </w:p>
        </w:tc>
        <w:tc>
          <w:tcPr>
            <w:tcW w:type="dxa" w:w="256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Estimación según m² y tipo cultivo</w:t>
            </w:r>
          </w:p>
        </w:tc>
        <w:tc>
          <w:tcPr>
            <w:tcW w:type="dxa" w:w="516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 diámetro se calcula en función del tipo de cultivo o plantación</w:t>
            </w:r>
          </w:p>
        </w:tc>
      </w:tr>
      <w:tr>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Consumo anual referencia: CÉSPED</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1,5226 m³/m²/año</w:t>
            </w:r>
          </w:p>
        </w:tc>
        <w:tc>
          <w:tcPr>
            <w:tcW w:type="dxa" w:w="5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Valor medio de referencia para el cálculo estimado del consumo</w:t>
            </w:r>
          </w:p>
        </w:tc>
      </w:tr>
      <w:tr>
        <w:tc>
          <w:tcPr>
            <w:tcW w:type="dxa" w:w="340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Consumo anual referencia: ARBUSTIVO</w:t>
            </w:r>
          </w:p>
        </w:tc>
        <w:tc>
          <w:tcPr>
            <w:tcW w:type="dxa" w:w="256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256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0,4344 m³/m²/año</w:t>
            </w:r>
          </w:p>
        </w:tc>
        <w:tc>
          <w:tcPr>
            <w:tcW w:type="dxa" w:w="5160"/>
            <w:gridSpan w:val="1"/>
            <w:tcBorders>
              <w:top w:val="single" w:color="CCCCCC" w:sz="4"/>
              <w:left w:val="single" w:color="CCCCCC" w:sz="4"/>
              <w:bottom w:val="single" w:color="CCCCCC" w:sz="4"/>
              <w:right w:val="single" w:color="CCCCCC" w:sz="4"/>
            </w:tcBorders>
            <w:shd w:fill="EAF5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Valor medio de referencia para el cálculo estimado del consumo</w:t>
            </w:r>
          </w:p>
        </w:tc>
      </w:tr>
      <w:tr>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Consumo anual referencia: FORESTAL</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t>
            </w:r>
          </w:p>
        </w:tc>
        <w:tc>
          <w:tcPr>
            <w:tcW w:type="dxa" w:w="25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0,0800 m³/m²/año</w:t>
            </w:r>
          </w:p>
        </w:tc>
        <w:tc>
          <w:tcPr>
            <w:tcW w:type="dxa" w:w="51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Valor medio de referencia para el cálculo estimado del consumo</w:t>
            </w:r>
          </w:p>
        </w:tc>
      </w:tr>
    </w:tbl>
    <w:p>
      <w:pPr>
        <w:spacing w:after="80" w:before="80"/>
      </w:pPr>
      <w:r>
        <w:t xml:space="preserve"/>
      </w:r>
    </w:p>
    <w:p>
      <w:pPr>
        <w:pBdr>
          <w:bottom w:val="single" w:color="D6E4F0" w:sz="6"/>
        </w:pBdr>
        <w:spacing w:after="100" w:before="300"/>
      </w:pPr>
      <w:r>
        <w:rPr>
          <w:rFonts w:ascii="Arial" w:cs="Arial" w:eastAsia="Arial" w:hAnsi="Arial"/>
          <w:b/>
          <w:bCs/>
          <w:color w:val="2E75B6"/>
          <w:sz w:val="24"/>
          <w:szCs w:val="24"/>
        </w:rPr>
        <w:t xml:space="preserve">10. Municipios abastecidos en alta y régimen de Ayuntamientos (arts. 9 y 10)</w:t>
      </w:r>
    </w:p>
    <w:p>
      <w:pPr>
        <w:spacing w:after="8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5080"/>
        <w:gridCol w:w="5200"/>
      </w:tblGrid>
      <w:tr>
        <w:tc>
          <w:tcPr>
            <w:tcW w:type="dxa" w:w="13680"/>
            <w:gridSpan w:val="3"/>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APLICACIÓN DE TARIFAS A MUNICIPIOS</w:t>
            </w:r>
          </w:p>
        </w:tc>
      </w:tr>
      <w:tr>
        <w:tc>
          <w:tcPr>
            <w:tcW w:type="dxa" w:w="340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Supuesto</w:t>
            </w:r>
          </w:p>
        </w:tc>
        <w:tc>
          <w:tcPr>
            <w:tcW w:type="dxa" w:w="508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Tarifa aplicable</w:t>
            </w:r>
          </w:p>
        </w:tc>
        <w:tc>
          <w:tcPr>
            <w:tcW w:type="dxa" w:w="5200"/>
            <w:gridSpan w:val="1"/>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Observaciones</w:t>
            </w:r>
          </w:p>
        </w:tc>
      </w:tr>
      <w:tr>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Ayuntamientos distribuidores (art. 9)</w:t>
            </w:r>
          </w:p>
        </w:tc>
        <w:tc>
          <w:tcPr>
            <w:tcW w:type="dxa" w:w="5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Incorporarán en sus liquidaciones los importes de aducción y/o depuración del Canal de Isabel II, S.A.</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Conforme a lo dispuesto en la Orden de desarrollo del Decreto 29/2018 (Orden 1330/2018)</w:t>
            </w:r>
          </w:p>
        </w:tc>
      </w:tr>
      <w:tr>
        <w:tc>
          <w:tcPr>
            <w:tcW w:type="dxa" w:w="34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Ayuntamientos abastecidos en alta sin adecuación tarifaria (art. 10)</w:t>
            </w:r>
          </w:p>
        </w:tc>
        <w:tc>
          <w:tcPr>
            <w:tcW w:type="dxa" w:w="508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Tarifa de aducción del grupo 'Otros usos' (cuota de servicio y parte variable)</w:t>
            </w:r>
          </w:p>
        </w:tc>
        <w:tc>
          <w:tcPr>
            <w:tcW w:type="dxa" w:w="5200"/>
            <w:gridSpan w:val="1"/>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Solo mientras no cumplimenten los trámites previstos en la Orden 381/1986, de 4 de marzo</w:t>
            </w:r>
          </w:p>
        </w:tc>
      </w:tr>
      <w:tr>
        <w:tc>
          <w:tcPr>
            <w:tcW w:type="dxa" w:w="3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6"/>
                <w:szCs w:val="16"/>
              </w:rPr>
              <w:t xml:space="preserve">Cálculo de N para Ayuntamientos en alta (art. 10)</w:t>
            </w:r>
          </w:p>
        </w:tc>
        <w:tc>
          <w:tcPr>
            <w:tcW w:type="dxa" w:w="508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 = suma de viviendas + locales comerciales + industrias censadas en el municipio</w:t>
            </w:r>
          </w:p>
        </w:tc>
        <w:tc>
          <w:tcPr>
            <w:tcW w:type="dxa" w:w="5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Certificado por el propio Ayuntamiento o, en su defecto, según el censo oficial de la Comunidad de Madrid. Los cambios surten efecto en la siguiente factura tras comunicación oficial.</w:t>
            </w:r>
          </w:p>
        </w:tc>
      </w:tr>
    </w:tbl>
    <w:p>
      <w:pPr>
        <w:spacing w:after="80" w:before="80"/>
      </w:pPr>
      <w:r>
        <w:t xml:space="preserve"/>
      </w:r>
    </w:p>
    <w:p>
      <w:pPr>
        <w:spacing w:after="80" w:before="80"/>
      </w:pPr>
      <w:r>
        <w:t xml:space="preserve"/>
      </w:r>
    </w:p>
    <w:p>
      <w:pPr>
        <w:shd w:fill="D6E4F0" w:val="clear"/>
        <w:spacing w:after="100" w:before="200"/>
        <w:ind w:left="200" w:right="200"/>
        <w:jc w:val="center"/>
      </w:pPr>
      <w:r>
        <w:rPr>
          <w:rFonts w:ascii="Arial" w:cs="Arial" w:eastAsia="Arial" w:hAnsi="Arial"/>
          <w:color w:val="555555"/>
          <w:sz w:val="15"/>
          <w:szCs w:val="15"/>
        </w:rPr>
        <w:t xml:space="preserve">Documento elaborado como tabla de referencia. Siempre prevalece el texto oficial del Decreto 29/2018 (BOCM 19-04-2018) y de la Orden 1330/2018 (BOCM 19-04-2018) para la aplicación de tarifas reales.</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jc w:val="center"/>
    </w:pPr>
    <w:r>
      <w:rPr>
        <w:rFonts w:ascii="Arial" w:cs="Arial" w:eastAsia="Arial" w:hAnsi="Arial"/>
        <w:color w:val="888888"/>
        <w:sz w:val="14"/>
        <w:szCs w:val="14"/>
      </w:rPr>
      <w:t xml:space="preserve">Decreto 29/2018, de 17 de abril — Tarifas máximas Canal de Isabel II, S.A.   |   Comunidad de Madrid   |   Pág.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2026-05-07T10:31:17.920Z</dcterms:created>
  <dcterms:modified xsi:type="dcterms:W3CDTF">2026-05-07T10:31:17.934Z</dcterms:modified>
</cp:coreProperties>
</file>

<file path=docProps/custom.xml><?xml version="1.0" encoding="utf-8"?>
<Properties xmlns="http://schemas.openxmlformats.org/officeDocument/2006/custom-properties" xmlns:vt="http://schemas.openxmlformats.org/officeDocument/2006/docPropsVTypes"/>
</file>