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3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rosa, violeta y turquesa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rosa es de 6 / 29, en la caja puede haber</w:t>
      </w:r>
    </w:p>
    <w:p>
      <w:pPr>
        <w:numPr>
          <w:ilvl w:val="1"/>
          <w:numId w:val="1002"/>
        </w:numPr>
      </w:pPr>
      <w:r>
        <w:t xml:space="preserve">18 de color violeta, 6 bolas de color rosa y 13 de color turquesa</w:t>
      </w:r>
    </w:p>
    <w:p>
      <w:pPr>
        <w:numPr>
          <w:ilvl w:val="1"/>
          <w:numId w:val="1002"/>
        </w:numPr>
      </w:pPr>
      <w:r>
        <w:t xml:space="preserve">22 de color violeta, 24 de color turquesa y 12 bolas de color rosa</w:t>
      </w:r>
    </w:p>
    <w:p>
      <w:pPr>
        <w:numPr>
          <w:ilvl w:val="1"/>
          <w:numId w:val="1002"/>
        </w:numPr>
      </w:pPr>
      <w:r>
        <w:t xml:space="preserve">9 bolas de color rosa, 16 de color turquesa y 13 de color violeta</w:t>
      </w:r>
    </w:p>
    <w:p>
      <w:pPr>
        <w:numPr>
          <w:ilvl w:val="1"/>
          <w:numId w:val="1002"/>
        </w:numPr>
      </w:pPr>
      <w:r>
        <w:t xml:space="preserve">6 bolas de color rosa, 22 de color violeta y 10 de color turquesa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estudiante tiene un vaso de forma cilíndrica. El vaso tiene una base circular de radio 42 cm y una altura de 79 cm, como se muestra en la figura.</w:t>
      </w:r>
    </w:p>
    <w:p>
      <w:pPr>
        <w:numPr>
          <w:ilvl w:val="0"/>
          <w:numId w:val="1000"/>
        </w:numPr>
      </w:pPr>
      <w:r>
        <w:drawing>
          <wp:inline>
            <wp:extent cx="2879999" cy="332307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2/cilind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32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π</m:t>
          </m:r>
          <m:r>
            <m:rPr>
              <m:sty m:val="p"/>
            </m:rPr>
            <m:t>×</m:t>
          </m:r>
          <m:r>
            <m:t>42</m:t>
          </m:r>
          <m:r>
            <m:rPr>
              <m:sty m:val="p"/>
            </m:rPr>
            <m:t>×</m:t>
          </m:r>
          <m:r>
            <m:t>79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,</m:t>
          </m:r>
          <m:r>
            <m:t>847.61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03"/>
        </w:numPr>
      </w:pPr>
      <w:r>
        <w:t xml:space="preserve">Al volumen del vaso</w:t>
      </w:r>
    </w:p>
    <w:p>
      <w:pPr>
        <w:numPr>
          <w:ilvl w:val="1"/>
          <w:numId w:val="1003"/>
        </w:numPr>
      </w:pPr>
      <w:r>
        <w:t xml:space="preserve">Al área de la tapa del vaso</w:t>
      </w:r>
    </w:p>
    <w:p>
      <w:pPr>
        <w:numPr>
          <w:ilvl w:val="1"/>
          <w:numId w:val="1003"/>
        </w:numPr>
      </w:pPr>
      <w:r>
        <w:t xml:space="preserve">Al área lateral del vaso</w:t>
      </w:r>
    </w:p>
    <w:p>
      <w:pPr>
        <w:numPr>
          <w:ilvl w:val="1"/>
          <w:numId w:val="1003"/>
        </w:numPr>
      </w:pPr>
      <w:r>
        <w:t xml:space="preserve">Al perímetro de la tapa del vaso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2025-06-04T15:45:48Z</dcterms:created>
  <dcterms:modified xsi:type="dcterms:W3CDTF">2025-06-04T15:45:48Z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