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repositorio-matemáticas-icfes---r-exams"/>
    <w:p>
      <w:pPr>
        <w:pStyle w:val="Heading1"/>
      </w:pPr>
      <w:r>
        <w:t xml:space="preserve">Repositorio Matemáticas ICFES - R-Exams</w:t>
      </w:r>
    </w:p>
    <w:bookmarkStart w:id="20" w:name="descripción-general"/>
    <w:p>
      <w:pPr>
        <w:pStyle w:val="Heading2"/>
      </w:pPr>
      <w:r>
        <w:t xml:space="preserve">Descripción General</w:t>
      </w:r>
    </w:p>
    <w:p>
      <w:pPr>
        <w:pStyle w:val="FirstParagraph"/>
      </w:pPr>
      <w:r>
        <w:t xml:space="preserve">Este repositorio contiene una colección de ejercicios de matemáticas para preparación de pruebas ICFES, desarrollados con el paquete R-exams. El proyecto está diseñado para generar preguntas dinámicas con alto grado de aleatorización, permitiendo crear múltiples versiones de cada ejercicio con diferentes variables, textos, nombres y situaciones.</w:t>
      </w:r>
    </w:p>
    <w:bookmarkEnd w:id="20"/>
    <w:bookmarkStart w:id="21" w:name="estado-actual"/>
    <w:p>
      <w:pPr>
        <w:pStyle w:val="Heading2"/>
      </w:pPr>
      <w:r>
        <w:t xml:space="preserve">Estado Actual</w:t>
      </w:r>
    </w:p>
    <w:p>
      <w:pPr>
        <w:pStyle w:val="Compact"/>
        <w:numPr>
          <w:ilvl w:val="0"/>
          <w:numId w:val="1001"/>
        </w:numPr>
      </w:pPr>
      <w:r>
        <w:t xml:space="preserve">El repositorio cuenta con una estructura organizada por áreas temáticas de matemáticas</w:t>
      </w:r>
    </w:p>
    <w:p>
      <w:pPr>
        <w:pStyle w:val="Compact"/>
        <w:numPr>
          <w:ilvl w:val="0"/>
          <w:numId w:val="1001"/>
        </w:numPr>
      </w:pPr>
      <w:r>
        <w:t xml:space="preserve">Se han implementado ejercicios en varias áreas, con énfasis en estadística y probabilidad</w:t>
      </w:r>
    </w:p>
    <w:p>
      <w:pPr>
        <w:pStyle w:val="Compact"/>
        <w:numPr>
          <w:ilvl w:val="0"/>
          <w:numId w:val="1001"/>
        </w:numPr>
      </w:pPr>
      <w:r>
        <w:t xml:space="preserve">Se han añadido pruebas unitarias para garantizar la coherencia matemática y diversidad de versiones</w:t>
      </w:r>
    </w:p>
    <w:p>
      <w:pPr>
        <w:pStyle w:val="Compact"/>
        <w:numPr>
          <w:ilvl w:val="0"/>
          <w:numId w:val="1001"/>
        </w:numPr>
      </w:pPr>
      <w:r>
        <w:t xml:space="preserve">Se utilizan tecnologías como TikZ para la generación de gráficos y tablas de alta calidad</w:t>
      </w:r>
    </w:p>
    <w:p>
      <w:pPr>
        <w:pStyle w:val="Compact"/>
        <w:numPr>
          <w:ilvl w:val="0"/>
          <w:numId w:val="1001"/>
        </w:numPr>
      </w:pPr>
      <w:r>
        <w:t xml:space="preserve">El proyecto soporta múltiples formatos de salida (PDF, HTML, NOPS)</w:t>
      </w:r>
    </w:p>
    <w:bookmarkEnd w:id="21"/>
    <w:bookmarkStart w:id="22" w:name="requisitos-del-sistema"/>
    <w:p>
      <w:pPr>
        <w:pStyle w:val="Heading2"/>
      </w:pPr>
      <w:r>
        <w:t xml:space="preserve">Requisitos del Sistema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</w:t>
      </w:r>
      <w:r>
        <w:t xml:space="preserve">: Versión 4.0 o superior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RStudio</w:t>
      </w:r>
      <w:r>
        <w:t xml:space="preserve">: Recomendado para una mejor experiencia de desarrollo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LaTeX</w:t>
      </w:r>
      <w:r>
        <w:t xml:space="preserve">: Necesario para la generación de documentos PDF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TikZ</w:t>
      </w:r>
      <w:r>
        <w:t xml:space="preserve">: Requerido para la generación de gráficos vectoriales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Paquetes R</w:t>
      </w:r>
      <w:r>
        <w:t xml:space="preserve">: exams, knitr, ggplot2, entre otros (ver script install_packages.R)</w:t>
      </w:r>
    </w:p>
    <w:bookmarkEnd w:id="22"/>
    <w:bookmarkStart w:id="23" w:name="estructura-del-repositorio"/>
    <w:p>
      <w:pPr>
        <w:pStyle w:val="Heading2"/>
      </w:pPr>
      <w:r>
        <w:t xml:space="preserve">Estructura del Repositorio</w:t>
      </w:r>
    </w:p>
    <w:p>
      <w:pPr>
        <w:pStyle w:val="FirstParagraph"/>
      </w:pPr>
      <w:r>
        <w:t xml:space="preserve">El repositorio está organizado siguiendo la estructura temática del currículo de matemáticas para ICFES:</w:t>
      </w:r>
    </w:p>
    <w:p>
      <w:pPr>
        <w:pStyle w:val="SourceCode"/>
      </w:pPr>
      <w:r>
        <w:rPr>
          <w:rStyle w:val="VerbatimChar"/>
        </w:rPr>
        <w:t xml:space="preserve">├── 01-Numeros-Reales/</w:t>
      </w:r>
      <w:r>
        <w:br/>
      </w:r>
      <w:r>
        <w:rPr>
          <w:rStyle w:val="VerbatimChar"/>
        </w:rPr>
        <w:t xml:space="preserve">├── 02-Funciones/</w:t>
      </w:r>
      <w:r>
        <w:br/>
      </w:r>
      <w:r>
        <w:rPr>
          <w:rStyle w:val="VerbatimChar"/>
        </w:rPr>
        <w:t xml:space="preserve">├── 03-Razones-Trigonometricas/</w:t>
      </w:r>
      <w:r>
        <w:br/>
      </w:r>
      <w:r>
        <w:rPr>
          <w:rStyle w:val="VerbatimChar"/>
        </w:rPr>
        <w:t xml:space="preserve">├── 04-Funciones_Identidades-Trigonometricas/</w:t>
      </w:r>
      <w:r>
        <w:br/>
      </w:r>
      <w:r>
        <w:rPr>
          <w:rStyle w:val="VerbatimChar"/>
        </w:rPr>
        <w:t xml:space="preserve">├── 05-Geometria-Analitica/</w:t>
      </w:r>
      <w:r>
        <w:br/>
      </w:r>
      <w:r>
        <w:rPr>
          <w:rStyle w:val="VerbatimChar"/>
        </w:rPr>
        <w:t xml:space="preserve">├── 06-Estadística-Y-Probabilidad/</w:t>
      </w:r>
      <w:r>
        <w:br/>
      </w:r>
      <w:r>
        <w:rPr>
          <w:rStyle w:val="VerbatimChar"/>
        </w:rPr>
        <w:t xml:space="preserve">└── General/</w:t>
      </w:r>
      <w:r>
        <w:br/>
      </w:r>
      <w:r>
        <w:rPr>
          <w:rStyle w:val="VerbatimChar"/>
        </w:rPr>
        <w:t xml:space="preserve">    └── Plantillas/</w:t>
      </w:r>
    </w:p>
    <w:p>
      <w:pPr>
        <w:pStyle w:val="FirstParagraph"/>
      </w:pPr>
      <w:r>
        <w:t xml:space="preserve">Cada ejercicio sigue una estructura común:</w:t>
      </w:r>
    </w:p>
    <w:p>
      <w:pPr>
        <w:pStyle w:val="SourceCode"/>
      </w:pPr>
      <w:r>
        <w:rPr>
          <w:rStyle w:val="VerbatimChar"/>
        </w:rPr>
        <w:t xml:space="preserve">├── ejercicios/     # Archivos .Rmd con el código fuente</w:t>
      </w:r>
      <w:r>
        <w:br/>
      </w:r>
      <w:r>
        <w:rPr>
          <w:rStyle w:val="VerbatimChar"/>
        </w:rPr>
        <w:t xml:space="preserve">├── docus/          # Documentación adicional</w:t>
      </w:r>
      <w:r>
        <w:br/>
      </w:r>
      <w:r>
        <w:rPr>
          <w:rStyle w:val="VerbatimChar"/>
        </w:rPr>
        <w:t xml:space="preserve">├── salida/         # Archivos generados</w:t>
      </w:r>
      <w:r>
        <w:br/>
      </w:r>
      <w:r>
        <w:rPr>
          <w:rStyle w:val="VerbatimChar"/>
        </w:rPr>
        <w:t xml:space="preserve">└── _snaps/         # Capturas para pruebas (opcional)</w:t>
      </w:r>
    </w:p>
    <w:bookmarkEnd w:id="23"/>
    <w:bookmarkStart w:id="30" w:name="áreas-temáticas"/>
    <w:p>
      <w:pPr>
        <w:pStyle w:val="Heading2"/>
      </w:pPr>
      <w:r>
        <w:t xml:space="preserve">Áreas Temáticas</w:t>
      </w:r>
    </w:p>
    <w:bookmarkStart w:id="24" w:name="números-reales"/>
    <w:p>
      <w:pPr>
        <w:pStyle w:val="Heading3"/>
      </w:pPr>
      <w:r>
        <w:t xml:space="preserve">1. Números Reales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Pensamiento Numérico</w:t>
      </w:r>
    </w:p>
    <w:p>
      <w:pPr>
        <w:pStyle w:val="Compact"/>
        <w:numPr>
          <w:ilvl w:val="1"/>
          <w:numId w:val="1004"/>
        </w:numPr>
      </w:pPr>
      <w:r>
        <w:t xml:space="preserve">Números Racionales</w:t>
      </w:r>
    </w:p>
    <w:p>
      <w:pPr>
        <w:pStyle w:val="Compact"/>
        <w:numPr>
          <w:ilvl w:val="1"/>
          <w:numId w:val="1004"/>
        </w:numPr>
      </w:pPr>
      <w:r>
        <w:t xml:space="preserve">Números Irracionales</w:t>
      </w:r>
    </w:p>
    <w:p>
      <w:pPr>
        <w:pStyle w:val="Compact"/>
        <w:numPr>
          <w:ilvl w:val="1"/>
          <w:numId w:val="1004"/>
        </w:numPr>
      </w:pPr>
      <w:r>
        <w:t xml:space="preserve">Números Reales</w:t>
      </w:r>
    </w:p>
    <w:p>
      <w:pPr>
        <w:pStyle w:val="Compact"/>
        <w:numPr>
          <w:ilvl w:val="1"/>
          <w:numId w:val="1004"/>
        </w:numPr>
      </w:pPr>
      <w:r>
        <w:t xml:space="preserve">Propiedades de Expresiones Decimales</w:t>
      </w:r>
    </w:p>
    <w:p>
      <w:pPr>
        <w:pStyle w:val="Compact"/>
        <w:numPr>
          <w:ilvl w:val="1"/>
          <w:numId w:val="1004"/>
        </w:numPr>
      </w:pPr>
      <w:r>
        <w:t xml:space="preserve">Conjunto de Reales y Desigualdades</w:t>
      </w:r>
    </w:p>
    <w:p>
      <w:pPr>
        <w:pStyle w:val="Compact"/>
        <w:numPr>
          <w:ilvl w:val="1"/>
          <w:numId w:val="1004"/>
        </w:numPr>
      </w:pPr>
      <w:r>
        <w:t xml:space="preserve">Valor Absoluto</w:t>
      </w:r>
    </w:p>
    <w:bookmarkEnd w:id="24"/>
    <w:bookmarkStart w:id="25" w:name="funciones"/>
    <w:p>
      <w:pPr>
        <w:pStyle w:val="Heading3"/>
      </w:pPr>
      <w:r>
        <w:t xml:space="preserve">2. Funciones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Pensamiento Variacional y Espacial</w:t>
      </w:r>
    </w:p>
    <w:p>
      <w:pPr>
        <w:pStyle w:val="Compact"/>
        <w:numPr>
          <w:ilvl w:val="1"/>
          <w:numId w:val="1006"/>
        </w:numPr>
      </w:pPr>
      <w:r>
        <w:t xml:space="preserve">Concepto de Función, Dominio y Recorrido</w:t>
      </w:r>
    </w:p>
    <w:p>
      <w:pPr>
        <w:pStyle w:val="Compact"/>
        <w:numPr>
          <w:ilvl w:val="1"/>
          <w:numId w:val="1006"/>
        </w:numPr>
      </w:pPr>
      <w:r>
        <w:t xml:space="preserve">Operaciones con Funciones</w:t>
      </w:r>
    </w:p>
    <w:p>
      <w:pPr>
        <w:pStyle w:val="Compact"/>
        <w:numPr>
          <w:ilvl w:val="1"/>
          <w:numId w:val="1006"/>
        </w:numPr>
      </w:pPr>
      <w:r>
        <w:t xml:space="preserve">Composición de Funciones</w:t>
      </w:r>
    </w:p>
    <w:p>
      <w:pPr>
        <w:pStyle w:val="Compact"/>
        <w:numPr>
          <w:ilvl w:val="1"/>
          <w:numId w:val="1006"/>
        </w:numPr>
      </w:pPr>
      <w:r>
        <w:t xml:space="preserve">Funciones Inyectivas y Funciones Inversas</w:t>
      </w:r>
    </w:p>
    <w:p>
      <w:pPr>
        <w:pStyle w:val="Compact"/>
        <w:numPr>
          <w:ilvl w:val="1"/>
          <w:numId w:val="1006"/>
        </w:numPr>
      </w:pPr>
      <w:r>
        <w:t xml:space="preserve">Propiedades de las Funciones</w:t>
      </w:r>
    </w:p>
    <w:p>
      <w:pPr>
        <w:pStyle w:val="Compact"/>
        <w:numPr>
          <w:ilvl w:val="1"/>
          <w:numId w:val="1006"/>
        </w:numPr>
      </w:pPr>
      <w:r>
        <w:t xml:space="preserve">Funciones Pares e Impares</w:t>
      </w:r>
    </w:p>
    <w:p>
      <w:pPr>
        <w:pStyle w:val="Compact"/>
        <w:numPr>
          <w:ilvl w:val="1"/>
          <w:numId w:val="1006"/>
        </w:numPr>
      </w:pPr>
      <w:r>
        <w:t xml:space="preserve">Funciones Periódicas</w:t>
      </w:r>
    </w:p>
    <w:p>
      <w:pPr>
        <w:pStyle w:val="Compact"/>
        <w:numPr>
          <w:ilvl w:val="1"/>
          <w:numId w:val="1006"/>
        </w:numPr>
      </w:pPr>
      <w:r>
        <w:t xml:space="preserve">Función Exponencial</w:t>
      </w:r>
    </w:p>
    <w:p>
      <w:pPr>
        <w:pStyle w:val="Compact"/>
        <w:numPr>
          <w:ilvl w:val="1"/>
          <w:numId w:val="1006"/>
        </w:numPr>
      </w:pPr>
      <w:r>
        <w:t xml:space="preserve">Función Logarítmica</w:t>
      </w:r>
    </w:p>
    <w:p>
      <w:pPr>
        <w:pStyle w:val="Compact"/>
        <w:numPr>
          <w:ilvl w:val="1"/>
          <w:numId w:val="1006"/>
        </w:numPr>
      </w:pPr>
      <w:r>
        <w:t xml:space="preserve">Traslación y Dilatación</w:t>
      </w:r>
    </w:p>
    <w:p>
      <w:pPr>
        <w:pStyle w:val="Compact"/>
        <w:numPr>
          <w:ilvl w:val="1"/>
          <w:numId w:val="1006"/>
        </w:numPr>
      </w:pPr>
      <w:r>
        <w:t xml:space="preserve">Variación Lineal y Exponencial, Razón de Cambio</w:t>
      </w:r>
    </w:p>
    <w:p>
      <w:pPr>
        <w:pStyle w:val="Compact"/>
        <w:numPr>
          <w:ilvl w:val="2"/>
          <w:numId w:val="1007"/>
        </w:numPr>
      </w:pPr>
      <w:r>
        <w:rPr>
          <w:b/>
          <w:bCs/>
        </w:rPr>
        <w:t xml:space="preserve">Contenido Actual:</w:t>
      </w:r>
    </w:p>
    <w:p>
      <w:pPr>
        <w:pStyle w:val="Compact"/>
        <w:numPr>
          <w:ilvl w:val="3"/>
          <w:numId w:val="1008"/>
        </w:numPr>
      </w:pPr>
      <w:r>
        <w:t xml:space="preserve">Función Lineal. Auto Viajero</w:t>
      </w:r>
    </w:p>
    <w:p>
      <w:pPr>
        <w:pStyle w:val="Compact"/>
        <w:numPr>
          <w:ilvl w:val="3"/>
          <w:numId w:val="1008"/>
        </w:numPr>
      </w:pPr>
      <w:r>
        <w:t xml:space="preserve">Recursos disponibles:</w:t>
      </w:r>
    </w:p>
    <w:p>
      <w:pPr>
        <w:pStyle w:val="Compact"/>
        <w:numPr>
          <w:ilvl w:val="4"/>
          <w:numId w:val="1009"/>
        </w:numPr>
      </w:pPr>
      <w:r>
        <w:t xml:space="preserve">Archivos RMarkdown (.Rmd)</w:t>
      </w:r>
    </w:p>
    <w:p>
      <w:pPr>
        <w:pStyle w:val="Compact"/>
        <w:numPr>
          <w:ilvl w:val="4"/>
          <w:numId w:val="1009"/>
        </w:numPr>
      </w:pPr>
      <w:r>
        <w:t xml:space="preserve">Scripts R</w:t>
      </w:r>
    </w:p>
    <w:p>
      <w:pPr>
        <w:pStyle w:val="Compact"/>
        <w:numPr>
          <w:ilvl w:val="4"/>
          <w:numId w:val="1009"/>
        </w:numPr>
      </w:pPr>
      <w:r>
        <w:t xml:space="preserve">Documentación</w:t>
      </w:r>
    </w:p>
    <w:p>
      <w:pPr>
        <w:pStyle w:val="Compact"/>
        <w:numPr>
          <w:ilvl w:val="4"/>
          <w:numId w:val="1009"/>
        </w:numPr>
      </w:pPr>
      <w:r>
        <w:t xml:space="preserve">Ejercicios y recursos adicionales</w:t>
      </w:r>
    </w:p>
    <w:p>
      <w:pPr>
        <w:pStyle w:val="Compact"/>
        <w:numPr>
          <w:ilvl w:val="1"/>
          <w:numId w:val="1006"/>
        </w:numPr>
      </w:pPr>
      <w:r>
        <w:t xml:space="preserve">Introducción al Límite de una Sucesión</w:t>
      </w:r>
    </w:p>
    <w:bookmarkEnd w:id="25"/>
    <w:bookmarkStart w:id="26" w:name="razones-trigonométricas"/>
    <w:p>
      <w:pPr>
        <w:pStyle w:val="Heading3"/>
      </w:pPr>
      <w:r>
        <w:t xml:space="preserve">3. Razones Trigonométricas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Pensamiento Espacial Métrico y Variacional</w:t>
      </w:r>
    </w:p>
    <w:p>
      <w:pPr>
        <w:pStyle w:val="Compact"/>
        <w:numPr>
          <w:ilvl w:val="1"/>
          <w:numId w:val="1011"/>
        </w:numPr>
      </w:pPr>
      <w:r>
        <w:t xml:space="preserve">Medidas de Ángulos</w:t>
      </w:r>
    </w:p>
    <w:p>
      <w:pPr>
        <w:pStyle w:val="Compact"/>
        <w:numPr>
          <w:ilvl w:val="1"/>
          <w:numId w:val="1011"/>
        </w:numPr>
      </w:pPr>
      <w:r>
        <w:t xml:space="preserve">Triángulos</w:t>
      </w:r>
    </w:p>
    <w:p>
      <w:pPr>
        <w:pStyle w:val="Compact"/>
        <w:numPr>
          <w:ilvl w:val="1"/>
          <w:numId w:val="1011"/>
        </w:numPr>
      </w:pPr>
      <w:r>
        <w:t xml:space="preserve">Razones Trigonométricas en un Triángulo Rectángulo</w:t>
      </w:r>
    </w:p>
    <w:p>
      <w:pPr>
        <w:pStyle w:val="Compact"/>
        <w:numPr>
          <w:ilvl w:val="1"/>
          <w:numId w:val="1011"/>
        </w:numPr>
      </w:pPr>
      <w:r>
        <w:t xml:space="preserve">Razones Trigonométricas de Ángulos Notables</w:t>
      </w:r>
    </w:p>
    <w:p>
      <w:pPr>
        <w:pStyle w:val="Compact"/>
        <w:numPr>
          <w:ilvl w:val="1"/>
          <w:numId w:val="1011"/>
        </w:numPr>
      </w:pPr>
      <w:r>
        <w:t xml:space="preserve">Resolución de Triángulos Rectángulos</w:t>
      </w:r>
    </w:p>
    <w:p>
      <w:pPr>
        <w:pStyle w:val="Compact"/>
        <w:numPr>
          <w:ilvl w:val="1"/>
          <w:numId w:val="1011"/>
        </w:numPr>
      </w:pPr>
      <w:r>
        <w:t xml:space="preserve">Ángulo de Elevación y Ángulo de Depresión</w:t>
      </w:r>
    </w:p>
    <w:p>
      <w:pPr>
        <w:pStyle w:val="Compact"/>
        <w:numPr>
          <w:ilvl w:val="1"/>
          <w:numId w:val="1011"/>
        </w:numPr>
      </w:pPr>
      <w:r>
        <w:t xml:space="preserve">Circunferencia Unitaria</w:t>
      </w:r>
    </w:p>
    <w:p>
      <w:pPr>
        <w:pStyle w:val="Compact"/>
        <w:numPr>
          <w:ilvl w:val="1"/>
          <w:numId w:val="1011"/>
        </w:numPr>
      </w:pPr>
      <w:r>
        <w:t xml:space="preserve">Razones Trigonométricas en la Circunferencia Unitaria</w:t>
      </w:r>
    </w:p>
    <w:p>
      <w:pPr>
        <w:pStyle w:val="Compact"/>
        <w:numPr>
          <w:ilvl w:val="1"/>
          <w:numId w:val="1011"/>
        </w:numPr>
      </w:pPr>
      <w:r>
        <w:t xml:space="preserve">Cálculo de Razones Trigonométricas Usando Ángulos de Referencia</w:t>
      </w:r>
    </w:p>
    <w:p>
      <w:pPr>
        <w:pStyle w:val="Compact"/>
        <w:numPr>
          <w:ilvl w:val="1"/>
          <w:numId w:val="1011"/>
        </w:numPr>
      </w:pPr>
      <w:r>
        <w:t xml:space="preserve">Razones Trigonométricas para Ángulos Negativos, Complementarios y Coterminales</w:t>
      </w:r>
    </w:p>
    <w:p>
      <w:pPr>
        <w:pStyle w:val="Compact"/>
        <w:numPr>
          <w:ilvl w:val="1"/>
          <w:numId w:val="1011"/>
        </w:numPr>
      </w:pPr>
      <w:r>
        <w:t xml:space="preserve">Definición de las Funciones Trigonométricas</w:t>
      </w:r>
    </w:p>
    <w:p>
      <w:pPr>
        <w:pStyle w:val="Compact"/>
        <w:numPr>
          <w:ilvl w:val="1"/>
          <w:numId w:val="1011"/>
        </w:numPr>
      </w:pPr>
      <w:r>
        <w:t xml:space="preserve">Teorema del Seno</w:t>
      </w:r>
    </w:p>
    <w:p>
      <w:pPr>
        <w:pStyle w:val="Compact"/>
        <w:numPr>
          <w:ilvl w:val="1"/>
          <w:numId w:val="1011"/>
        </w:numPr>
      </w:pPr>
      <w:r>
        <w:t xml:space="preserve">Teorema del Coseno</w:t>
      </w:r>
    </w:p>
    <w:bookmarkEnd w:id="26"/>
    <w:bookmarkStart w:id="27" w:name="funciones-e-identidades-trigonométricas"/>
    <w:p>
      <w:pPr>
        <w:pStyle w:val="Heading3"/>
      </w:pPr>
      <w:r>
        <w:t xml:space="preserve">4. Funciones e Identidades Trigonométricas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Pensamiento Espacial y Variacional</w:t>
      </w:r>
    </w:p>
    <w:p>
      <w:pPr>
        <w:pStyle w:val="Compact"/>
        <w:numPr>
          <w:ilvl w:val="1"/>
          <w:numId w:val="1013"/>
        </w:numPr>
      </w:pPr>
      <w:r>
        <w:t xml:space="preserve">Función Seno</w:t>
      </w:r>
    </w:p>
    <w:p>
      <w:pPr>
        <w:pStyle w:val="Compact"/>
        <w:numPr>
          <w:ilvl w:val="1"/>
          <w:numId w:val="1013"/>
        </w:numPr>
      </w:pPr>
      <w:r>
        <w:t xml:space="preserve">Función Coseno</w:t>
      </w:r>
    </w:p>
    <w:p>
      <w:pPr>
        <w:pStyle w:val="Compact"/>
        <w:numPr>
          <w:ilvl w:val="1"/>
          <w:numId w:val="1013"/>
        </w:numPr>
      </w:pPr>
      <w:r>
        <w:t xml:space="preserve">Gráficas de las Funciones Sinusoidales</w:t>
      </w:r>
    </w:p>
    <w:p>
      <w:pPr>
        <w:pStyle w:val="Compact"/>
        <w:numPr>
          <w:ilvl w:val="1"/>
          <w:numId w:val="1013"/>
        </w:numPr>
      </w:pPr>
      <w:r>
        <w:t xml:space="preserve">Función Tangente</w:t>
      </w:r>
    </w:p>
    <w:p>
      <w:pPr>
        <w:pStyle w:val="Compact"/>
        <w:numPr>
          <w:ilvl w:val="1"/>
          <w:numId w:val="1013"/>
        </w:numPr>
      </w:pPr>
      <w:r>
        <w:t xml:space="preserve">Función Cotangente</w:t>
      </w:r>
    </w:p>
    <w:p>
      <w:pPr>
        <w:pStyle w:val="Compact"/>
        <w:numPr>
          <w:ilvl w:val="1"/>
          <w:numId w:val="1013"/>
        </w:numPr>
      </w:pPr>
      <w:r>
        <w:t xml:space="preserve">Función Secante</w:t>
      </w:r>
    </w:p>
    <w:p>
      <w:pPr>
        <w:pStyle w:val="Compact"/>
        <w:numPr>
          <w:ilvl w:val="1"/>
          <w:numId w:val="1013"/>
        </w:numPr>
      </w:pPr>
      <w:r>
        <w:t xml:space="preserve">Función Cosecante</w:t>
      </w:r>
    </w:p>
    <w:p>
      <w:pPr>
        <w:pStyle w:val="Compact"/>
        <w:numPr>
          <w:ilvl w:val="1"/>
          <w:numId w:val="1013"/>
        </w:numPr>
      </w:pPr>
      <w:r>
        <w:t xml:space="preserve">Identidades Trigonométricas Fundamentales</w:t>
      </w:r>
    </w:p>
    <w:p>
      <w:pPr>
        <w:pStyle w:val="Compact"/>
        <w:numPr>
          <w:ilvl w:val="1"/>
          <w:numId w:val="1013"/>
        </w:numPr>
      </w:pPr>
      <w:r>
        <w:t xml:space="preserve">Funciones Trigonométricas en Términos de las Otras</w:t>
      </w:r>
    </w:p>
    <w:p>
      <w:pPr>
        <w:pStyle w:val="Compact"/>
        <w:numPr>
          <w:ilvl w:val="1"/>
          <w:numId w:val="1013"/>
        </w:numPr>
      </w:pPr>
      <w:r>
        <w:t xml:space="preserve">Simplificación de Expresiones Trigonométricas</w:t>
      </w:r>
    </w:p>
    <w:p>
      <w:pPr>
        <w:pStyle w:val="Compact"/>
        <w:numPr>
          <w:ilvl w:val="1"/>
          <w:numId w:val="1013"/>
        </w:numPr>
      </w:pPr>
      <w:r>
        <w:t xml:space="preserve">Coordenadas Polares y Cartesianas</w:t>
      </w:r>
    </w:p>
    <w:bookmarkEnd w:id="27"/>
    <w:bookmarkStart w:id="28" w:name="geometría-analítica"/>
    <w:p>
      <w:pPr>
        <w:pStyle w:val="Heading3"/>
      </w:pPr>
      <w:r>
        <w:t xml:space="preserve">5. Geometría Analítica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Pensamiento Espacial</w:t>
      </w:r>
    </w:p>
    <w:p>
      <w:pPr>
        <w:pStyle w:val="Compact"/>
        <w:numPr>
          <w:ilvl w:val="1"/>
          <w:numId w:val="1015"/>
        </w:numPr>
      </w:pPr>
      <w:r>
        <w:t xml:space="preserve">Coordenadas Cartesianas</w:t>
      </w:r>
    </w:p>
    <w:p>
      <w:pPr>
        <w:pStyle w:val="Compact"/>
        <w:numPr>
          <w:ilvl w:val="1"/>
          <w:numId w:val="1015"/>
        </w:numPr>
      </w:pPr>
      <w:r>
        <w:t xml:space="preserve">La Línea Recta</w:t>
      </w:r>
    </w:p>
    <w:p>
      <w:pPr>
        <w:pStyle w:val="Compact"/>
        <w:numPr>
          <w:ilvl w:val="1"/>
          <w:numId w:val="1015"/>
        </w:numPr>
      </w:pPr>
      <w:r>
        <w:t xml:space="preserve">Posiciones Relativas de Dos Rectas en el Plano</w:t>
      </w:r>
    </w:p>
    <w:p>
      <w:pPr>
        <w:pStyle w:val="Compact"/>
        <w:numPr>
          <w:ilvl w:val="1"/>
          <w:numId w:val="1015"/>
        </w:numPr>
      </w:pPr>
      <w:r>
        <w:t xml:space="preserve">Secciones Cónicas</w:t>
      </w:r>
    </w:p>
    <w:p>
      <w:pPr>
        <w:pStyle w:val="Compact"/>
        <w:numPr>
          <w:ilvl w:val="1"/>
          <w:numId w:val="1015"/>
        </w:numPr>
      </w:pPr>
      <w:r>
        <w:t xml:space="preserve">La Circunferencia</w:t>
      </w:r>
    </w:p>
    <w:p>
      <w:pPr>
        <w:pStyle w:val="Compact"/>
        <w:numPr>
          <w:ilvl w:val="1"/>
          <w:numId w:val="1015"/>
        </w:numPr>
      </w:pPr>
      <w:r>
        <w:t xml:space="preserve">Ecuación Canónica de la Circunferencia con Centro en (h,k)</w:t>
      </w:r>
    </w:p>
    <w:p>
      <w:pPr>
        <w:pStyle w:val="Compact"/>
        <w:numPr>
          <w:ilvl w:val="1"/>
          <w:numId w:val="1015"/>
        </w:numPr>
      </w:pPr>
      <w:r>
        <w:t xml:space="preserve">Ecuación General de la Circunferencia</w:t>
      </w:r>
    </w:p>
    <w:p>
      <w:pPr>
        <w:pStyle w:val="Compact"/>
        <w:numPr>
          <w:ilvl w:val="1"/>
          <w:numId w:val="1015"/>
        </w:numPr>
      </w:pPr>
      <w:r>
        <w:t xml:space="preserve">La Parábola</w:t>
      </w:r>
    </w:p>
    <w:p>
      <w:pPr>
        <w:pStyle w:val="Compact"/>
        <w:numPr>
          <w:ilvl w:val="1"/>
          <w:numId w:val="1015"/>
        </w:numPr>
      </w:pPr>
      <w:r>
        <w:t xml:space="preserve">Ecuación Canónica de la Parábola con Vértice en (h,k)</w:t>
      </w:r>
    </w:p>
    <w:p>
      <w:pPr>
        <w:pStyle w:val="Compact"/>
        <w:numPr>
          <w:ilvl w:val="1"/>
          <w:numId w:val="1015"/>
        </w:numPr>
      </w:pPr>
      <w:r>
        <w:t xml:space="preserve">Ecuación General de la Parábola</w:t>
      </w:r>
    </w:p>
    <w:p>
      <w:pPr>
        <w:pStyle w:val="Compact"/>
        <w:numPr>
          <w:ilvl w:val="1"/>
          <w:numId w:val="1015"/>
        </w:numPr>
      </w:pPr>
      <w:r>
        <w:t xml:space="preserve">La Elipse</w:t>
      </w:r>
    </w:p>
    <w:p>
      <w:pPr>
        <w:pStyle w:val="Compact"/>
        <w:numPr>
          <w:ilvl w:val="1"/>
          <w:numId w:val="1015"/>
        </w:numPr>
      </w:pPr>
      <w:r>
        <w:t xml:space="preserve">Ecuación Canónica de la Elipse con Centro en (h,k)</w:t>
      </w:r>
    </w:p>
    <w:p>
      <w:pPr>
        <w:pStyle w:val="Compact"/>
        <w:numPr>
          <w:ilvl w:val="1"/>
          <w:numId w:val="1015"/>
        </w:numPr>
      </w:pPr>
      <w:r>
        <w:t xml:space="preserve">Ecuación General de la Elipse</w:t>
      </w:r>
    </w:p>
    <w:p>
      <w:pPr>
        <w:pStyle w:val="Compact"/>
        <w:numPr>
          <w:ilvl w:val="1"/>
          <w:numId w:val="1015"/>
        </w:numPr>
      </w:pPr>
      <w:r>
        <w:t xml:space="preserve">La Hipérbola</w:t>
      </w:r>
    </w:p>
    <w:p>
      <w:pPr>
        <w:pStyle w:val="Compact"/>
        <w:numPr>
          <w:ilvl w:val="1"/>
          <w:numId w:val="1015"/>
        </w:numPr>
      </w:pPr>
      <w:r>
        <w:t xml:space="preserve">Ecuación Canónica de la Hipérbola con Centro en (h,k)</w:t>
      </w:r>
    </w:p>
    <w:p>
      <w:pPr>
        <w:pStyle w:val="Compact"/>
        <w:numPr>
          <w:ilvl w:val="1"/>
          <w:numId w:val="1015"/>
        </w:numPr>
      </w:pPr>
      <w:r>
        <w:t xml:space="preserve">Ecuación General de la Hipérbola</w:t>
      </w:r>
    </w:p>
    <w:bookmarkEnd w:id="28"/>
    <w:bookmarkStart w:id="29" w:name="estadística-y-probabilidad"/>
    <w:p>
      <w:pPr>
        <w:pStyle w:val="Heading3"/>
      </w:pPr>
      <w:r>
        <w:t xml:space="preserve">6. Estadística y Probabilidad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Pensamiento Aleatorio</w:t>
      </w:r>
    </w:p>
    <w:p>
      <w:pPr>
        <w:pStyle w:val="Compact"/>
        <w:numPr>
          <w:ilvl w:val="1"/>
          <w:numId w:val="1017"/>
        </w:numPr>
      </w:pPr>
      <w:r>
        <w:t xml:space="preserve">Variables Cualitativas y Distribución de Frecuencias</w:t>
      </w:r>
    </w:p>
    <w:p>
      <w:pPr>
        <w:pStyle w:val="Compact"/>
        <w:numPr>
          <w:ilvl w:val="2"/>
          <w:numId w:val="1018"/>
        </w:numPr>
      </w:pPr>
      <w:r>
        <w:rPr>
          <w:b/>
          <w:bCs/>
        </w:rPr>
        <w:t xml:space="preserve">Contenido Actual:</w:t>
      </w:r>
    </w:p>
    <w:p>
      <w:pPr>
        <w:pStyle w:val="Compact"/>
        <w:numPr>
          <w:ilvl w:val="3"/>
          <w:numId w:val="1019"/>
        </w:numPr>
      </w:pPr>
      <w:r>
        <w:t xml:space="preserve">Gráficos Estadísticos de Adopción de Mascotas</w:t>
      </w:r>
    </w:p>
    <w:p>
      <w:pPr>
        <w:pStyle w:val="Compact"/>
        <w:numPr>
          <w:ilvl w:val="3"/>
          <w:numId w:val="1019"/>
        </w:numPr>
      </w:pPr>
      <w:r>
        <w:t xml:space="preserve">Accidentalidad Vial por Género (con pruebas unitarias)</w:t>
      </w:r>
    </w:p>
    <w:p>
      <w:pPr>
        <w:pStyle w:val="Compact"/>
        <w:numPr>
          <w:ilvl w:val="3"/>
          <w:numId w:val="1019"/>
        </w:numPr>
      </w:pPr>
      <w:r>
        <w:t xml:space="preserve">Recursos disponibles:</w:t>
      </w:r>
    </w:p>
    <w:p>
      <w:pPr>
        <w:pStyle w:val="Compact"/>
        <w:numPr>
          <w:ilvl w:val="4"/>
          <w:numId w:val="1020"/>
        </w:numPr>
      </w:pPr>
      <w:r>
        <w:t xml:space="preserve">Archivos RMarkdown (.Rmd)</w:t>
      </w:r>
    </w:p>
    <w:p>
      <w:pPr>
        <w:pStyle w:val="Compact"/>
        <w:numPr>
          <w:ilvl w:val="4"/>
          <w:numId w:val="1020"/>
        </w:numPr>
      </w:pPr>
      <w:r>
        <w:t xml:space="preserve">Scripts R</w:t>
      </w:r>
    </w:p>
    <w:p>
      <w:pPr>
        <w:pStyle w:val="Compact"/>
        <w:numPr>
          <w:ilvl w:val="4"/>
          <w:numId w:val="1020"/>
        </w:numPr>
      </w:pPr>
      <w:r>
        <w:t xml:space="preserve">Documentación</w:t>
      </w:r>
    </w:p>
    <w:p>
      <w:pPr>
        <w:pStyle w:val="Compact"/>
        <w:numPr>
          <w:ilvl w:val="4"/>
          <w:numId w:val="1020"/>
        </w:numPr>
      </w:pPr>
      <w:r>
        <w:t xml:space="preserve">Recursos multimedia</w:t>
      </w:r>
    </w:p>
    <w:p>
      <w:pPr>
        <w:pStyle w:val="Compact"/>
        <w:numPr>
          <w:ilvl w:val="4"/>
          <w:numId w:val="1020"/>
        </w:numPr>
      </w:pPr>
      <w:r>
        <w:t xml:space="preserve">Pruebas unitarias para validación matemática</w:t>
      </w:r>
    </w:p>
    <w:p>
      <w:pPr>
        <w:pStyle w:val="Compact"/>
        <w:numPr>
          <w:ilvl w:val="4"/>
          <w:numId w:val="1020"/>
        </w:numPr>
      </w:pPr>
      <w:r>
        <w:t xml:space="preserve">Ejercicios y recursos adicionales</w:t>
      </w:r>
    </w:p>
    <w:p>
      <w:pPr>
        <w:pStyle w:val="Compact"/>
        <w:numPr>
          <w:ilvl w:val="1"/>
          <w:numId w:val="1017"/>
        </w:numPr>
      </w:pPr>
      <w:r>
        <w:t xml:space="preserve">Variables Cuantitativas Discretas y Distribución de Frecuencias</w:t>
      </w:r>
    </w:p>
    <w:p>
      <w:pPr>
        <w:pStyle w:val="Compact"/>
        <w:numPr>
          <w:ilvl w:val="1"/>
          <w:numId w:val="1017"/>
        </w:numPr>
      </w:pPr>
      <w:r>
        <w:t xml:space="preserve">Variables Cuantitativas Continuas y Distribución de Frecuencias</w:t>
      </w:r>
    </w:p>
    <w:p>
      <w:pPr>
        <w:pStyle w:val="Compact"/>
        <w:numPr>
          <w:ilvl w:val="1"/>
          <w:numId w:val="1017"/>
        </w:numPr>
      </w:pPr>
      <w:r>
        <w:t xml:space="preserve">Medidas de Tendencia Central</w:t>
      </w:r>
    </w:p>
    <w:p>
      <w:pPr>
        <w:pStyle w:val="Compact"/>
        <w:numPr>
          <w:ilvl w:val="2"/>
          <w:numId w:val="1021"/>
        </w:numPr>
      </w:pPr>
      <w:r>
        <w:rPr>
          <w:b/>
          <w:bCs/>
        </w:rPr>
        <w:t xml:space="preserve">Estado Actual:</w:t>
      </w:r>
    </w:p>
    <w:p>
      <w:pPr>
        <w:pStyle w:val="Compact"/>
        <w:numPr>
          <w:ilvl w:val="3"/>
          <w:numId w:val="1022"/>
        </w:numPr>
      </w:pPr>
      <w:r>
        <w:t xml:space="preserve">Media (Promedios)</w:t>
      </w:r>
    </w:p>
    <w:p>
      <w:pPr>
        <w:pStyle w:val="Compact"/>
        <w:numPr>
          <w:ilvl w:val="3"/>
          <w:numId w:val="1022"/>
        </w:numPr>
      </w:pPr>
      <w:r>
        <w:t xml:space="preserve">Caso Práctico: Notas Faltantes</w:t>
      </w:r>
    </w:p>
    <w:p>
      <w:pPr>
        <w:pStyle w:val="Compact"/>
        <w:numPr>
          <w:ilvl w:val="3"/>
          <w:numId w:val="1022"/>
        </w:numPr>
      </w:pPr>
      <w:r>
        <w:t xml:space="preserve">Recursos disponibles:</w:t>
      </w:r>
    </w:p>
    <w:p>
      <w:pPr>
        <w:pStyle w:val="Compact"/>
        <w:numPr>
          <w:ilvl w:val="4"/>
          <w:numId w:val="1023"/>
        </w:numPr>
      </w:pPr>
      <w:r>
        <w:t xml:space="preserve">Archivos RMarkdown (.Rmd)</w:t>
      </w:r>
    </w:p>
    <w:p>
      <w:pPr>
        <w:pStyle w:val="Compact"/>
        <w:numPr>
          <w:ilvl w:val="4"/>
          <w:numId w:val="1023"/>
        </w:numPr>
      </w:pPr>
      <w:r>
        <w:t xml:space="preserve">Scripts R</w:t>
      </w:r>
    </w:p>
    <w:p>
      <w:pPr>
        <w:pStyle w:val="Compact"/>
        <w:numPr>
          <w:ilvl w:val="4"/>
          <w:numId w:val="1023"/>
        </w:numPr>
      </w:pPr>
      <w:r>
        <w:t xml:space="preserve">Documentación</w:t>
      </w:r>
    </w:p>
    <w:p>
      <w:pPr>
        <w:pStyle w:val="Compact"/>
        <w:numPr>
          <w:ilvl w:val="1"/>
          <w:numId w:val="1017"/>
        </w:numPr>
      </w:pPr>
      <w:r>
        <w:t xml:space="preserve">Medidas de Dispersión</w:t>
      </w:r>
    </w:p>
    <w:p>
      <w:pPr>
        <w:pStyle w:val="Compact"/>
        <w:numPr>
          <w:ilvl w:val="2"/>
          <w:numId w:val="1024"/>
        </w:numPr>
      </w:pPr>
      <w:r>
        <w:rPr>
          <w:b/>
          <w:bCs/>
        </w:rPr>
        <w:t xml:space="preserve">Estado Actual:</w:t>
      </w:r>
    </w:p>
    <w:p>
      <w:pPr>
        <w:pStyle w:val="Compact"/>
        <w:numPr>
          <w:ilvl w:val="3"/>
          <w:numId w:val="1025"/>
        </w:numPr>
      </w:pPr>
      <w:r>
        <w:t xml:space="preserve">Intervalo de Confianza</w:t>
      </w:r>
    </w:p>
    <w:p>
      <w:pPr>
        <w:pStyle w:val="Compact"/>
        <w:numPr>
          <w:ilvl w:val="3"/>
          <w:numId w:val="1025"/>
        </w:numPr>
      </w:pPr>
      <w:r>
        <w:t xml:space="preserve">Caso Práctico: Gastos Turísticos</w:t>
      </w:r>
    </w:p>
    <w:p>
      <w:pPr>
        <w:pStyle w:val="Compact"/>
        <w:numPr>
          <w:ilvl w:val="3"/>
          <w:numId w:val="1025"/>
        </w:numPr>
      </w:pPr>
      <w:r>
        <w:t xml:space="preserve">Recursos disponibles:</w:t>
      </w:r>
    </w:p>
    <w:p>
      <w:pPr>
        <w:pStyle w:val="Compact"/>
        <w:numPr>
          <w:ilvl w:val="4"/>
          <w:numId w:val="1026"/>
        </w:numPr>
      </w:pPr>
      <w:r>
        <w:t xml:space="preserve">Archivos RMarkdown (.Rmd)</w:t>
      </w:r>
    </w:p>
    <w:p>
      <w:pPr>
        <w:pStyle w:val="Compact"/>
        <w:numPr>
          <w:ilvl w:val="4"/>
          <w:numId w:val="1026"/>
        </w:numPr>
      </w:pPr>
      <w:r>
        <w:t xml:space="preserve">Scripts R</w:t>
      </w:r>
    </w:p>
    <w:p>
      <w:pPr>
        <w:pStyle w:val="Compact"/>
        <w:numPr>
          <w:ilvl w:val="4"/>
          <w:numId w:val="1026"/>
        </w:numPr>
      </w:pPr>
      <w:r>
        <w:t xml:space="preserve">Documentación</w:t>
      </w:r>
    </w:p>
    <w:p>
      <w:pPr>
        <w:pStyle w:val="Compact"/>
        <w:numPr>
          <w:ilvl w:val="4"/>
          <w:numId w:val="1026"/>
        </w:numPr>
      </w:pPr>
      <w:r>
        <w:t xml:space="preserve">Ejercicios y recursos adicionales</w:t>
      </w:r>
    </w:p>
    <w:p>
      <w:pPr>
        <w:pStyle w:val="Compact"/>
        <w:numPr>
          <w:ilvl w:val="1"/>
          <w:numId w:val="1017"/>
        </w:numPr>
      </w:pPr>
      <w:r>
        <w:t xml:space="preserve">Medidas de Posición</w:t>
      </w:r>
    </w:p>
    <w:p>
      <w:pPr>
        <w:pStyle w:val="Compact"/>
        <w:numPr>
          <w:ilvl w:val="1"/>
          <w:numId w:val="1017"/>
        </w:numPr>
      </w:pPr>
      <w:r>
        <w:t xml:space="preserve">Probabilidad: Principios Aditivo y Multiplicativo de Conteo</w:t>
      </w:r>
    </w:p>
    <w:p>
      <w:pPr>
        <w:pStyle w:val="Compact"/>
        <w:numPr>
          <w:ilvl w:val="2"/>
          <w:numId w:val="1027"/>
        </w:numPr>
      </w:pPr>
      <w:r>
        <w:rPr>
          <w:b/>
          <w:bCs/>
        </w:rPr>
        <w:t xml:space="preserve">Contenido Actual:</w:t>
      </w:r>
    </w:p>
    <w:p>
      <w:pPr>
        <w:pStyle w:val="Compact"/>
        <w:numPr>
          <w:ilvl w:val="3"/>
          <w:numId w:val="1028"/>
        </w:numPr>
      </w:pPr>
      <w:r>
        <w:t xml:space="preserve">Diagramas de Venn</w:t>
      </w:r>
    </w:p>
    <w:p>
      <w:pPr>
        <w:pStyle w:val="Compact"/>
        <w:numPr>
          <w:ilvl w:val="3"/>
          <w:numId w:val="1028"/>
        </w:numPr>
      </w:pPr>
      <w:r>
        <w:t xml:space="preserve">Caso Práctico: Géneros Musicales</w:t>
      </w:r>
    </w:p>
    <w:p>
      <w:pPr>
        <w:pStyle w:val="Compact"/>
        <w:numPr>
          <w:ilvl w:val="3"/>
          <w:numId w:val="1028"/>
        </w:numPr>
      </w:pPr>
      <w:r>
        <w:t xml:space="preserve">Recursos disponibles:</w:t>
      </w:r>
    </w:p>
    <w:p>
      <w:pPr>
        <w:pStyle w:val="Compact"/>
        <w:numPr>
          <w:ilvl w:val="4"/>
          <w:numId w:val="1029"/>
        </w:numPr>
      </w:pPr>
      <w:r>
        <w:t xml:space="preserve">Archivos RMarkdown (.Rmd)</w:t>
      </w:r>
    </w:p>
    <w:p>
      <w:pPr>
        <w:pStyle w:val="Compact"/>
        <w:numPr>
          <w:ilvl w:val="4"/>
          <w:numId w:val="1029"/>
        </w:numPr>
      </w:pPr>
      <w:r>
        <w:t xml:space="preserve">Scripts R</w:t>
      </w:r>
    </w:p>
    <w:p>
      <w:pPr>
        <w:pStyle w:val="Compact"/>
        <w:numPr>
          <w:ilvl w:val="4"/>
          <w:numId w:val="1029"/>
        </w:numPr>
      </w:pPr>
      <w:r>
        <w:t xml:space="preserve">Documentación</w:t>
      </w:r>
    </w:p>
    <w:p>
      <w:pPr>
        <w:pStyle w:val="Compact"/>
        <w:numPr>
          <w:ilvl w:val="4"/>
          <w:numId w:val="1029"/>
        </w:numPr>
      </w:pPr>
      <w:r>
        <w:t xml:space="preserve">Recursos multimedia</w:t>
      </w:r>
    </w:p>
    <w:p>
      <w:pPr>
        <w:pStyle w:val="Compact"/>
        <w:numPr>
          <w:ilvl w:val="1"/>
          <w:numId w:val="1017"/>
        </w:numPr>
      </w:pPr>
      <w:r>
        <w:t xml:space="preserve">Probabilidad de la Unión de Sucesos</w:t>
      </w:r>
    </w:p>
    <w:p>
      <w:pPr>
        <w:pStyle w:val="Compact"/>
        <w:numPr>
          <w:ilvl w:val="1"/>
          <w:numId w:val="1017"/>
        </w:numPr>
      </w:pPr>
      <w:r>
        <w:t xml:space="preserve">Probabilidad Condicionada e Independencia de Sucesos</w:t>
      </w:r>
    </w:p>
    <w:bookmarkEnd w:id="29"/>
    <w:bookmarkEnd w:id="30"/>
    <w:bookmarkStart w:id="31" w:name="características-principales"/>
    <w:p>
      <w:pPr>
        <w:pStyle w:val="Heading2"/>
      </w:pPr>
      <w:r>
        <w:t xml:space="preserve">Características Principales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Alta aleatorización</w:t>
      </w:r>
      <w:r>
        <w:t xml:space="preserve">: Cada ejercicio puede generar cientos de versiones diferentes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Pruebas unitarias</w:t>
      </w:r>
      <w:r>
        <w:t xml:space="preserve">: Validación automática de la coherencia matemática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Gráficos dinámicos</w:t>
      </w:r>
      <w:r>
        <w:t xml:space="preserve">: Generación de visualizaciones personalizadas con TikZ y ggplot2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Tablas dinámicas</w:t>
      </w:r>
      <w:r>
        <w:t xml:space="preserve">: Creación de tablas con datos aleatorios usando TikZ y kable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Múltiples formatos</w:t>
      </w:r>
      <w:r>
        <w:t xml:space="preserve">: Soporte para PDF, HTML, NOPS y otros formatos de salida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Plantillas reutilizables</w:t>
      </w:r>
      <w:r>
        <w:t xml:space="preserve">: Estructura modular para facilitar la creación de nuevos ejercicios</w:t>
      </w:r>
    </w:p>
    <w:p>
      <w:pPr>
        <w:pStyle w:val="Compact"/>
        <w:numPr>
          <w:ilvl w:val="0"/>
          <w:numId w:val="1030"/>
        </w:numPr>
      </w:pPr>
      <w:r>
        <w:rPr>
          <w:b/>
          <w:bCs/>
        </w:rPr>
        <w:t xml:space="preserve">Compatibilidad con LaTeX</w:t>
      </w:r>
      <w:r>
        <w:t xml:space="preserve">: Soporte completo para notación matemática avanzada</w:t>
      </w:r>
    </w:p>
    <w:bookmarkEnd w:id="31"/>
    <w:bookmarkStart w:id="34" w:name="guía-de-uso"/>
    <w:p>
      <w:pPr>
        <w:pStyle w:val="Heading2"/>
      </w:pPr>
      <w:r>
        <w:t xml:space="preserve">Guía de Uso</w:t>
      </w:r>
    </w:p>
    <w:bookmarkStart w:id="32" w:name="generación-de-ejercicios"/>
    <w:p>
      <w:pPr>
        <w:pStyle w:val="Heading3"/>
      </w:pPr>
      <w:r>
        <w:t xml:space="preserve">Generación de Ejercicios</w:t>
      </w:r>
    </w:p>
    <w:p>
      <w:pPr>
        <w:pStyle w:val="FirstParagraph"/>
      </w:pPr>
      <w:r>
        <w:t xml:space="preserve">Para generar ejercicios en formato PDF: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(exams)</w:t>
      </w:r>
      <w:r>
        <w:br/>
      </w:r>
      <w:r>
        <w:rPr>
          <w:rStyle w:val="FunctionTok"/>
        </w:rPr>
        <w:t xml:space="preserve">exams2pdf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"ruta/al/ejercicio.Rmd"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Genera 5 versiones diferentes</w:t>
      </w:r>
    </w:p>
    <w:p>
      <w:pPr>
        <w:pStyle w:val="FirstParagraph"/>
      </w:pPr>
      <w:r>
        <w:t xml:space="preserve">Para generar ejercicios en formato HTML: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(exams)</w:t>
      </w:r>
      <w:r>
        <w:br/>
      </w:r>
      <w:r>
        <w:rPr>
          <w:rStyle w:val="FunctionTok"/>
        </w:rPr>
        <w:t xml:space="preserve">exams2html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"ruta/al/ejercicio.Rmd"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Genera 5 versiones diferentes</w:t>
      </w:r>
    </w:p>
    <w:bookmarkEnd w:id="32"/>
    <w:bookmarkStart w:id="33" w:name="ejecución-de-pruebas-unitarias"/>
    <w:p>
      <w:pPr>
        <w:pStyle w:val="Heading3"/>
      </w:pPr>
      <w:r>
        <w:t xml:space="preserve">Ejecución de Pruebas Unitarias</w:t>
      </w:r>
    </w:p>
    <w:p>
      <w:pPr>
        <w:pStyle w:val="FirstParagraph"/>
      </w:pPr>
      <w:r>
        <w:t xml:space="preserve">Para ejecutar las pruebas unitarias de un ejercicio: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"ruta/al/script_de_pruebas.R"</w:t>
      </w:r>
      <w:r>
        <w:rPr>
          <w:rStyle w:val="NormalTok"/>
        </w:rPr>
        <w:t xml:space="preserve">)</w:t>
      </w:r>
    </w:p>
    <w:bookmarkEnd w:id="33"/>
    <w:bookmarkEnd w:id="34"/>
    <w:bookmarkStart w:id="37" w:name="novedades"/>
    <w:p>
      <w:pPr>
        <w:pStyle w:val="Heading2"/>
      </w:pPr>
      <w:r>
        <w:t xml:space="preserve">Novedades</w:t>
      </w:r>
    </w:p>
    <w:bookmarkStart w:id="35" w:name="julio-2024"/>
    <w:p>
      <w:pPr>
        <w:pStyle w:val="Heading3"/>
      </w:pPr>
      <w:r>
        <w:t xml:space="preserve">Julio 2024</w:t>
      </w:r>
    </w:p>
    <w:p>
      <w:pPr>
        <w:pStyle w:val="Compact"/>
        <w:numPr>
          <w:ilvl w:val="0"/>
          <w:numId w:val="1031"/>
        </w:numPr>
      </w:pPr>
      <w:r>
        <w:rPr>
          <w:b/>
          <w:bCs/>
        </w:rPr>
        <w:t xml:space="preserve">Implementación de pruebas unitarias en ejercicios de estadística</w:t>
      </w:r>
    </w:p>
    <w:p>
      <w:pPr>
        <w:pStyle w:val="Compact"/>
        <w:numPr>
          <w:ilvl w:val="1"/>
          <w:numId w:val="1032"/>
        </w:numPr>
      </w:pPr>
      <w:r>
        <w:t xml:space="preserve">Se han añadido pruebas unitarias al ejercicio de Accidentalidad Vial por Género</w:t>
      </w:r>
    </w:p>
    <w:p>
      <w:pPr>
        <w:pStyle w:val="Compact"/>
        <w:numPr>
          <w:ilvl w:val="1"/>
          <w:numId w:val="1032"/>
        </w:numPr>
      </w:pPr>
      <w:r>
        <w:t xml:space="preserve">Las pruebas garantizan:</w:t>
      </w:r>
    </w:p>
    <w:p>
      <w:pPr>
        <w:pStyle w:val="Compact"/>
        <w:numPr>
          <w:ilvl w:val="2"/>
          <w:numId w:val="1033"/>
        </w:numPr>
      </w:pPr>
      <w:r>
        <w:t xml:space="preserve">Coherencia matemática en los datos generados</w:t>
      </w:r>
    </w:p>
    <w:p>
      <w:pPr>
        <w:pStyle w:val="Compact"/>
        <w:numPr>
          <w:ilvl w:val="2"/>
          <w:numId w:val="1033"/>
        </w:numPr>
      </w:pPr>
      <w:r>
        <w:t xml:space="preserve">Proporciones realistas en los datos de género</w:t>
      </w:r>
    </w:p>
    <w:p>
      <w:pPr>
        <w:pStyle w:val="Compact"/>
        <w:numPr>
          <w:ilvl w:val="2"/>
          <w:numId w:val="1033"/>
        </w:numPr>
      </w:pPr>
      <w:r>
        <w:t xml:space="preserve">Tendencias temporales coherentes</w:t>
      </w:r>
    </w:p>
    <w:p>
      <w:pPr>
        <w:pStyle w:val="Compact"/>
        <w:numPr>
          <w:ilvl w:val="2"/>
          <w:numId w:val="1033"/>
        </w:numPr>
      </w:pPr>
      <w:r>
        <w:t xml:space="preserve">Generación de más de 300 versiones diferentes del ejercicio</w:t>
      </w:r>
    </w:p>
    <w:p>
      <w:pPr>
        <w:pStyle w:val="Compact"/>
        <w:numPr>
          <w:ilvl w:val="2"/>
          <w:numId w:val="1033"/>
        </w:numPr>
      </w:pPr>
      <w:r>
        <w:t xml:space="preserve">Validación de la diversidad en los datos</w:t>
      </w:r>
    </w:p>
    <w:p>
      <w:pPr>
        <w:pStyle w:val="Compact"/>
        <w:numPr>
          <w:ilvl w:val="1"/>
          <w:numId w:val="1032"/>
        </w:numPr>
      </w:pPr>
      <w:r>
        <w:t xml:space="preserve">Se incluye un script independiente para ejecutar las pruebas</w:t>
      </w:r>
    </w:p>
    <w:bookmarkEnd w:id="35"/>
    <w:bookmarkStart w:id="36" w:name="junio-2024"/>
    <w:p>
      <w:pPr>
        <w:pStyle w:val="Heading3"/>
      </w:pPr>
      <w:r>
        <w:t xml:space="preserve">Junio 2024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Mejoras en la generación de gráficos con TikZ</w:t>
      </w:r>
    </w:p>
    <w:p>
      <w:pPr>
        <w:pStyle w:val="Compact"/>
        <w:numPr>
          <w:ilvl w:val="1"/>
          <w:numId w:val="1035"/>
        </w:numPr>
      </w:pPr>
      <w:r>
        <w:t xml:space="preserve">Eliminación de etiquetas automáticas como</w:t>
      </w:r>
      <w:r>
        <w:t xml:space="preserve"> </w:t>
      </w:r>
      <w:r>
        <w:t xml:space="preserve">‘</w:t>
      </w:r>
      <w:r>
        <w:t xml:space="preserve">plot of chunk GraficoA</w:t>
      </w:r>
      <w:r>
        <w:t xml:space="preserve">’</w:t>
      </w:r>
    </w:p>
    <w:p>
      <w:pPr>
        <w:pStyle w:val="Compact"/>
        <w:numPr>
          <w:ilvl w:val="1"/>
          <w:numId w:val="1035"/>
        </w:numPr>
      </w:pPr>
      <w:r>
        <w:t xml:space="preserve">Mayor personalización de colores y estilos</w:t>
      </w:r>
    </w:p>
    <w:p>
      <w:pPr>
        <w:pStyle w:val="Compact"/>
        <w:numPr>
          <w:ilvl w:val="1"/>
          <w:numId w:val="1035"/>
        </w:numPr>
      </w:pPr>
      <w:r>
        <w:t xml:space="preserve">Soporte mejorado para tablas dinámicas</w:t>
      </w:r>
    </w:p>
    <w:bookmarkEnd w:id="36"/>
    <w:bookmarkEnd w:id="37"/>
    <w:bookmarkStart w:id="38" w:name="contribuciones"/>
    <w:p>
      <w:pPr>
        <w:pStyle w:val="Heading2"/>
      </w:pPr>
      <w:r>
        <w:t xml:space="preserve">Contribuciones</w:t>
      </w:r>
    </w:p>
    <w:p>
      <w:pPr>
        <w:pStyle w:val="FirstParagraph"/>
      </w:pPr>
      <w:r>
        <w:t xml:space="preserve">Este repositorio está abierto a contribuciones. Si deseas colaborar:</w:t>
      </w:r>
    </w:p>
    <w:p>
      <w:pPr>
        <w:pStyle w:val="Compact"/>
        <w:numPr>
          <w:ilvl w:val="0"/>
          <w:numId w:val="1036"/>
        </w:numPr>
      </w:pPr>
      <w:r>
        <w:t xml:space="preserve">Revisa la estructura de carpetas y las plantillas existentes</w:t>
      </w:r>
    </w:p>
    <w:p>
      <w:pPr>
        <w:pStyle w:val="Compact"/>
        <w:numPr>
          <w:ilvl w:val="0"/>
          <w:numId w:val="1036"/>
        </w:numPr>
      </w:pPr>
      <w:r>
        <w:t xml:space="preserve">Sigue las convenciones de nomenclatura y organización</w:t>
      </w:r>
    </w:p>
    <w:p>
      <w:pPr>
        <w:pStyle w:val="Compact"/>
        <w:numPr>
          <w:ilvl w:val="0"/>
          <w:numId w:val="1036"/>
        </w:numPr>
      </w:pPr>
      <w:r>
        <w:t xml:space="preserve">Asegúrate de incluir pruebas unitarias para validar la coherencia matemática</w:t>
      </w:r>
    </w:p>
    <w:p>
      <w:pPr>
        <w:pStyle w:val="Compact"/>
        <w:numPr>
          <w:ilvl w:val="0"/>
          <w:numId w:val="1036"/>
        </w:numPr>
      </w:pPr>
      <w:r>
        <w:t xml:space="preserve">Documenta adecuadamente el código y los ejercicios</w:t>
      </w:r>
    </w:p>
    <w:bookmarkEnd w:id="38"/>
    <w:bookmarkStart w:id="43" w:name="recursos-adicionales"/>
    <w:p>
      <w:pPr>
        <w:pStyle w:val="Heading2"/>
      </w:pPr>
      <w:r>
        <w:t xml:space="preserve">Recursos Adicionales</w:t>
      </w:r>
    </w:p>
    <w:p>
      <w:pPr>
        <w:pStyle w:val="Compact"/>
        <w:numPr>
          <w:ilvl w:val="0"/>
          <w:numId w:val="1037"/>
        </w:numPr>
      </w:pPr>
      <w:hyperlink r:id="rId39">
        <w:r>
          <w:rPr>
            <w:rStyle w:val="Hyperlink"/>
          </w:rPr>
          <w:t xml:space="preserve">Documentación oficial de R-exams</w:t>
        </w:r>
      </w:hyperlink>
    </w:p>
    <w:p>
      <w:pPr>
        <w:pStyle w:val="Compact"/>
        <w:numPr>
          <w:ilvl w:val="0"/>
          <w:numId w:val="1037"/>
        </w:numPr>
      </w:pPr>
      <w:hyperlink r:id="rId40">
        <w:r>
          <w:rPr>
            <w:rStyle w:val="Hyperlink"/>
          </w:rPr>
          <w:t xml:space="preserve">Tutorial de TikZ</w:t>
        </w:r>
      </w:hyperlink>
    </w:p>
    <w:p>
      <w:pPr>
        <w:pStyle w:val="Compact"/>
        <w:numPr>
          <w:ilvl w:val="0"/>
          <w:numId w:val="1037"/>
        </w:numPr>
      </w:pPr>
      <w:hyperlink r:id="rId41">
        <w:r>
          <w:rPr>
            <w:rStyle w:val="Hyperlink"/>
          </w:rPr>
          <w:t xml:space="preserve">Guía de implementación ICFES</w:t>
        </w:r>
      </w:hyperlink>
    </w:p>
    <w:p>
      <w:pPr>
        <w:pStyle w:val="Compact"/>
        <w:numPr>
          <w:ilvl w:val="0"/>
          <w:numId w:val="1037"/>
        </w:numPr>
      </w:pPr>
      <w:hyperlink r:id="rId42">
        <w:r>
          <w:rPr>
            <w:rStyle w:val="Hyperlink"/>
          </w:rPr>
          <w:t xml:space="preserve">Matriz de alineación ICFES</w:t>
        </w:r>
      </w:hyperlink>
    </w:p>
    <w:bookmarkEnd w:id="43"/>
    <w:bookmarkStart w:id="45" w:name="contacto"/>
    <w:p>
      <w:pPr>
        <w:pStyle w:val="Heading2"/>
      </w:pPr>
      <w:r>
        <w:t xml:space="preserve">Contacto</w:t>
      </w:r>
    </w:p>
    <w:p>
      <w:pPr>
        <w:pStyle w:val="FirstParagraph"/>
      </w:pPr>
      <w:r>
        <w:t xml:space="preserve">Para consultas o sugerencias relacionadas con este repositorio, puedes contactar al mantenedor principal a través de GitHub.</w:t>
      </w:r>
    </w:p>
    <w:p>
      <w:pPr>
        <w:pStyle w:val="BodyText"/>
      </w:pPr>
      <w:hyperlink r:id="rId44">
        <w:r>
          <w:rPr>
            <w:rStyle w:val="Hyperlink"/>
          </w:rPr>
          <w:t xml:space="preserve">GitHub:</w:t>
        </w:r>
      </w:hyperlink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1" Target="./guia_implementacion_icfes.html" TargetMode="External" /><Relationship Type="http://schemas.openxmlformats.org/officeDocument/2006/relationships/hyperlink" Id="rId42" Target="./matriz_alineacion_icfes.html" TargetMode="External" /><Relationship Type="http://schemas.openxmlformats.org/officeDocument/2006/relationships/hyperlink" Id="rId39" Target="http://www.r-exams.org/" TargetMode="External" /><Relationship Type="http://schemas.openxmlformats.org/officeDocument/2006/relationships/hyperlink" Id="rId44" Target="https://github.com/alvaretto/proyecto-r-exams-icfes-matematicas-optimizado" TargetMode="External" /><Relationship Type="http://schemas.openxmlformats.org/officeDocument/2006/relationships/hyperlink" Id="rId40" Target="https://www.overleaf.com/learn/latex/TikZ_packa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./guia_implementacion_icfes.html" TargetMode="External" /><Relationship Type="http://schemas.openxmlformats.org/officeDocument/2006/relationships/hyperlink" Id="rId42" Target="./matriz_alineacion_icfes.html" TargetMode="External" /><Relationship Type="http://schemas.openxmlformats.org/officeDocument/2006/relationships/hyperlink" Id="rId39" Target="http://www.r-exams.org/" TargetMode="External" /><Relationship Type="http://schemas.openxmlformats.org/officeDocument/2006/relationships/hyperlink" Id="rId44" Target="https://github.com/alvaretto/proyecto-r-exams-icfes-matematicas-optimizado" TargetMode="External" /><Relationship Type="http://schemas.openxmlformats.org/officeDocument/2006/relationships/hyperlink" Id="rId40" Target="https://www.overleaf.com/learn/latex/TikZ_packa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2025-04-14T23:48:51Z</dcterms:created>
  <dcterms:modified xsi:type="dcterms:W3CDTF">2025-04-14T23:48:51Z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/>
  </property>
</Properties>
</file>