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</w:pPr>
      <w:r>
        <w:rPr>
          <w:b/>
          <w:bCs/>
        </w:rPr>
        <w:t xml:space="preserve">Question</w:t>
      </w:r>
      <w:r>
        <w:br/>
      </w:r>
      <w:r>
        <w:t xml:space="preserve">La tabla muestra el registro semanal que lleva una persona de los gastos relacionados con su carro.</w:t>
      </w:r>
    </w:p>
    <w:p>
      <w:pPr>
        <w:numPr>
          <w:ilvl w:val="0"/>
          <w:numId w:val="1000"/>
        </w:numPr>
      </w:pPr>
      <w:r>
        <w:drawing>
          <wp:inline>
            <wp:extent cx="3599999" cy="875076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tabla_gasto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9" cy="875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Si la persona quiere realizar una comparación entre los gastos totales por semana, ¿cuál de las siguientes gráficas le permite hacer esto directamente?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Solution</w:t>
      </w:r>
      <w:r>
        <w:br/>
      </w:r>
      <w:r>
        <w:t xml:space="preserve">Para resolver este problema, necesitamos identificar qué tipo de gráfica permite comparar directamente los</w:t>
      </w:r>
      <w:r>
        <w:t xml:space="preserve"> </w:t>
      </w:r>
      <w:r>
        <w:rPr>
          <w:b/>
          <w:bCs/>
        </w:rPr>
        <w:t xml:space="preserve">gastos totales por semana</w:t>
      </w:r>
      <w:r>
        <w:t xml:space="preserve">.</w:t>
      </w:r>
    </w:p>
    <w:p>
      <w:pPr>
        <w:pStyle w:val="Heading3"/>
        <w:numPr>
          <w:ilvl w:val="0"/>
          <w:numId w:val="1000"/>
        </w:numPr>
      </w:pPr>
      <w:bookmarkStart w:id="23" w:name="anuxe1lisis-de-los-datos"/>
      <w:r>
        <w:t xml:space="preserve">Análisis de los datos</w:t>
      </w:r>
      <w:bookmarkEnd w:id="23"/>
    </w:p>
    <w:p>
      <w:pPr>
        <w:numPr>
          <w:ilvl w:val="0"/>
          <w:numId w:val="1000"/>
        </w:numPr>
      </w:pPr>
      <w:r>
        <w:t xml:space="preserve">Primero, calculemos los gastos totales por semana: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Semana 1:</w:t>
      </w:r>
      <w:r>
        <w:t xml:space="preserve"> </w:t>
      </w:r>
      <w:r>
        <w:t xml:space="preserve">$27.000 + $25.000 + $23.000 = $75.000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Semana 2:</w:t>
      </w:r>
      <w:r>
        <w:t xml:space="preserve"> </w:t>
      </w:r>
      <w:r>
        <w:t xml:space="preserve">$42.000 + $28.000 + $21.000 = $91.000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Semana 3:</w:t>
      </w:r>
      <w:r>
        <w:t xml:space="preserve"> </w:t>
      </w:r>
      <w:r>
        <w:t xml:space="preserve">$28.000 + $29.000 + $14.000 = $71.000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Semana 4:</w:t>
      </w:r>
      <w:r>
        <w:t xml:space="preserve"> </w:t>
      </w:r>
      <w:r>
        <w:t xml:space="preserve">$36.000 + $29.000 + $13.000 = $78.000</w:t>
      </w:r>
    </w:p>
    <w:p>
      <w:pPr>
        <w:pStyle w:val="Heading3"/>
        <w:numPr>
          <w:ilvl w:val="0"/>
          <w:numId w:val="1000"/>
        </w:numPr>
      </w:pPr>
      <w:bookmarkStart w:id="24" w:name="anuxe1lisis-de-cada-opciuxf3n"/>
      <w:r>
        <w:t xml:space="preserve">Análisis de cada opción</w:t>
      </w:r>
      <w:bookmarkEnd w:id="24"/>
    </w:p>
    <w:p>
      <w:pPr>
        <w:numPr>
          <w:ilvl w:val="0"/>
          <w:numId w:val="1000"/>
        </w:numPr>
      </w:pPr>
      <w:r>
        <w:rPr>
          <w:b/>
          <w:bCs/>
        </w:rPr>
        <w:t xml:space="preserve">Gráfica circular por categoría:</w:t>
      </w:r>
    </w:p>
    <w:p>
      <w:pPr>
        <w:numPr>
          <w:ilvl w:val="1"/>
          <w:numId w:val="1004"/>
        </w:numPr>
      </w:pPr>
      <w:r>
        <w:t xml:space="preserve">Muestra la proporción de cada tipo de gasto en el total general</w:t>
      </w:r>
    </w:p>
    <w:p>
      <w:pPr>
        <w:numPr>
          <w:ilvl w:val="1"/>
          <w:numId w:val="1004"/>
        </w:numPr>
      </w:pPr>
      <w:r>
        <w:t xml:space="preserve">NO permite comparar gastos totales por semana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Gráfica de barras apiladas por semana:</w:t>
      </w:r>
    </w:p>
    <w:p>
      <w:pPr>
        <w:numPr>
          <w:ilvl w:val="1"/>
          <w:numId w:val="1005"/>
        </w:numPr>
      </w:pPr>
      <w:r>
        <w:t xml:space="preserve">Cada barra representa una semana</w:t>
      </w:r>
    </w:p>
    <w:p>
      <w:pPr>
        <w:numPr>
          <w:ilvl w:val="1"/>
          <w:numId w:val="1005"/>
        </w:numPr>
      </w:pPr>
      <w:r>
        <w:t xml:space="preserve">La altura total de cada barra muestra el gasto total de esa semana</w:t>
      </w:r>
    </w:p>
    <w:p>
      <w:pPr>
        <w:numPr>
          <w:ilvl w:val="1"/>
          <w:numId w:val="1005"/>
        </w:numPr>
      </w:pPr>
      <w:r>
        <w:t xml:space="preserve">Permite comparar directamente los gastos totales entre semanas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Esta es la respuesta correcta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Gráfica circular por semana:</w:t>
      </w:r>
    </w:p>
    <w:p>
      <w:pPr>
        <w:numPr>
          <w:ilvl w:val="1"/>
          <w:numId w:val="1006"/>
        </w:numPr>
      </w:pPr>
      <w:r>
        <w:t xml:space="preserve">Muestra la proporción de gastos de cada semana respecto al total del mes</w:t>
      </w:r>
    </w:p>
    <w:p>
      <w:pPr>
        <w:numPr>
          <w:ilvl w:val="1"/>
          <w:numId w:val="1006"/>
        </w:numPr>
      </w:pPr>
      <w:r>
        <w:t xml:space="preserve">No muestra los valores absolutos de cada semana claramente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Gráfica de barras agrupadas por categoría:</w:t>
      </w:r>
    </w:p>
    <w:p>
      <w:pPr>
        <w:numPr>
          <w:ilvl w:val="1"/>
          <w:numId w:val="1007"/>
        </w:numPr>
      </w:pPr>
      <w:r>
        <w:t xml:space="preserve">Agrupa las barras por tipo de gasto (gasolina, parqueadero, peajes)</w:t>
      </w:r>
    </w:p>
    <w:p>
      <w:pPr>
        <w:numPr>
          <w:ilvl w:val="1"/>
          <w:numId w:val="1007"/>
        </w:numPr>
      </w:pPr>
      <w:r>
        <w:t xml:space="preserve">Dificulta la comparación de gastos totales por semana</w:t>
      </w:r>
    </w:p>
    <w:p>
      <w:pPr>
        <w:pStyle w:val="Heading3"/>
        <w:numPr>
          <w:ilvl w:val="0"/>
          <w:numId w:val="1000"/>
        </w:numPr>
      </w:pPr>
      <w:bookmarkStart w:id="25" w:name="conclusiuxf3n"/>
      <w:r>
        <w:t xml:space="preserve">Conclusión</w:t>
      </w:r>
      <w:bookmarkEnd w:id="25"/>
    </w:p>
    <w:p>
      <w:pPr>
        <w:numPr>
          <w:ilvl w:val="0"/>
          <w:numId w:val="1000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Opción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gráfica de barras apiladas por semana</w:t>
      </w:r>
      <w:r>
        <w:rPr>
          <w:b/>
          <w:bCs/>
        </w:rPr>
        <w:t xml:space="preserve">”</w:t>
      </w:r>
      <w:r>
        <w:t xml:space="preserve"> </w:t>
      </w:r>
      <w:r>
        <w:t xml:space="preserve">es la única que permite comparar directamente los gastos totales por semana, ya que la altura de cada barra representa el gasto total de cada semana.</w:t>
      </w:r>
    </w:p>
    <w:p>
      <w:pPr>
        <w:numPr>
          <w:ilvl w:val="1"/>
          <w:numId w:val="1008"/>
        </w:numPr>
      </w:pPr>
      <w:r>
        <w:t xml:space="preserve">Verdadero</w:t>
      </w:r>
    </w:p>
    <w:p>
      <w:pPr>
        <w:numPr>
          <w:ilvl w:val="1"/>
          <w:numId w:val="1008"/>
        </w:numPr>
      </w:pPr>
      <w:r>
        <w:t xml:space="preserve">Falso</w:t>
      </w:r>
    </w:p>
    <w:p>
      <w:pPr>
        <w:numPr>
          <w:ilvl w:val="1"/>
          <w:numId w:val="1008"/>
        </w:numPr>
      </w:pPr>
      <w:r>
        <w:t xml:space="preserve">Falso</w:t>
      </w:r>
    </w:p>
    <w:p>
      <w:pPr>
        <w:numPr>
          <w:ilvl w:val="1"/>
          <w:numId w:val="1008"/>
        </w:numPr>
      </w:pPr>
      <w:r>
        <w:t xml:space="preserve">Falso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2025-08-05T17:06:48Z</dcterms:created>
  <dcterms:modified xsi:type="dcterms:W3CDTF">2025-08-05T17:06:48Z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