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svg" ContentType="image/svg+xml"/>
  <Override PartName="/word/media/rId24.png" ContentType="image/png"/>
  <Override PartName="/word/media/rId3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6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75248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prob_dist_grafico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75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tabla_opcion_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1/tabla_opcion_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1/tabla_opcion_c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media/supplements1/exercise1/tabla_opcion_b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03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0,30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0,41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0,30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p>
      <w:pPr>
        <w:numPr>
          <w:ilvl w:val="0"/>
          <w:numId w:val="1000"/>
        </w:numPr>
      </w:pPr>
      <w:r>
        <w:t xml:space="preserve">Intervalo</w:t>
      </w:r>
    </w:p>
    <w:p>
      <w:pPr>
        <w:numPr>
          <w:ilvl w:val="0"/>
          <w:numId w:val="1000"/>
        </w:numPr>
      </w:pPr>
      <w:r>
        <w:t xml:space="preserve">Probabilidad</w:t>
      </w:r>
    </w:p>
    <w:p>
      <w:pPr>
        <w:numPr>
          <w:ilvl w:val="0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</w:p>
    <w:p>
      <w:pPr>
        <w:numPr>
          <w:ilvl w:val="0"/>
          <w:numId w:val="1000"/>
        </w:numPr>
      </w:pPr>
      <w:r>
        <w:t xml:space="preserve">0,30</w:t>
      </w:r>
    </w:p>
    <w:p>
      <w:pPr>
        <w:numPr>
          <w:ilvl w:val="0"/>
          <w:numId w:val="1000"/>
        </w:numPr>
      </w:pPr>
      <m:oMath>
        <m:r>
          <m:t>6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12</m:t>
        </m:r>
      </m:oMath>
    </w:p>
    <w:p>
      <w:pPr>
        <w:numPr>
          <w:ilvl w:val="0"/>
          <w:numId w:val="1000"/>
        </w:numPr>
      </w:pPr>
      <w:r>
        <w:t xml:space="preserve">0,41</w:t>
      </w:r>
    </w:p>
    <w:p>
      <w:pPr>
        <w:numPr>
          <w:ilvl w:val="0"/>
          <w:numId w:val="1000"/>
        </w:numPr>
      </w:pPr>
      <m:oMath>
        <m:r>
          <m:t>12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0"/>
          <w:numId w:val="1000"/>
        </w:numPr>
      </w:pPr>
      <w:r>
        <w:t xml:space="preserve">0,30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(0,30, 0,71, 1,00), lo cual es una interpretación incorrecta del gráfico.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12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numPr>
          <w:ilvl w:val="1"/>
          <w:numId w:val="1005"/>
        </w:numPr>
      </w:pPr>
      <w:r>
        <w:t xml:space="preserve">Correcto. Esta tabla representa exactamente los tres intervalos y sus probabilidades correspondientes como se muestra en el gráfico.</w:t>
      </w:r>
    </w:p>
    <w:p>
      <w:pPr>
        <w:numPr>
          <w:ilvl w:val="1"/>
          <w:numId w:val="1005"/>
        </w:numPr>
      </w:pPr>
      <w:r>
        <w:t xml:space="preserve">Incorrecto. No coincide con la asignación de probabilidades del gráfico.</w:t>
      </w:r>
    </w:p>
    <w:p>
      <w:pPr>
        <w:numPr>
          <w:ilvl w:val="1"/>
          <w:numId w:val="1005"/>
        </w:numPr>
      </w:pPr>
      <w:r>
        <w:t xml:space="preserve">Incorrecto. Intercambia los valores asignando el central a los laterales.</w:t>
      </w:r>
    </w:p>
    <w:p>
      <w:pPr>
        <w:numPr>
          <w:ilvl w:val="1"/>
          <w:numId w:val="1005"/>
        </w:numPr>
      </w:pPr>
      <w:r>
        <w:t xml:space="preserve">Incorrecto. Usa intervalos acumulativos (0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b,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c) y una columna acumulada; no corresponde a las tres secciones individuales.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sv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2025-09-12T19:13:02Z</dcterms:created>
  <dcterms:modified xsi:type="dcterms:W3CDTF">2025-09-12T19:13:02Z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