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pregunta-08"/>
    <w:p>
      <w:pPr>
        <w:pStyle w:val="Heading1"/>
      </w:pPr>
      <w:r>
        <w:t xml:space="preserve">Pregunta 08</w:t>
      </w:r>
    </w:p>
    <w:p>
      <w:r>
        <w:pict>
          <v:rect style="width:0;height:1.5pt" o:hralign="center" o:hrstd="t" o:hr="t"/>
        </w:pict>
      </w:r>
    </w:p>
    <w:p>
      <w:pPr>
        <w:pStyle w:val="FirstParagraph"/>
      </w:pPr>
      <w:r>
        <w:drawing>
          <wp:inline>
            <wp:extent cx="5270500" cy="24422100"/>
            <wp:effectExtent b="0" l="0" r="0" t="0"/>
            <wp:docPr descr="" title="" id="21" name="Picture"/>
            <a:graphic>
              <a:graphicData uri="http://schemas.openxmlformats.org/drawingml/2006/picture">
                <pic:pic>
                  <pic:nvPicPr>
                    <pic:cNvPr descr="/home/manjaro_lenovo/Documentos/Math/2023-Matematicas-11-1/08/all.png" id="22" name="Picture"/>
                    <pic:cNvPicPr>
                      <a:picLocks noChangeArrowheads="1" noChangeAspect="1"/>
                    </pic:cNvPicPr>
                  </pic:nvPicPr>
                  <pic:blipFill>
                    <a:blip r:embed="rId20"/>
                    <a:stretch>
                      <a:fillRect/>
                    </a:stretch>
                  </pic:blipFill>
                  <pic:spPr bwMode="auto">
                    <a:xfrm>
                      <a:off x="0" y="0"/>
                      <a:ext cx="5270500" cy="24422100"/>
                    </a:xfrm>
                    <a:prstGeom prst="rect">
                      <a:avLst/>
                    </a:prstGeom>
                    <a:noFill/>
                    <a:ln w="9525">
                      <a:noFill/>
                      <a:headEnd/>
                      <a:tailEnd/>
                    </a:ln>
                  </pic:spPr>
                </pic:pic>
              </a:graphicData>
            </a:graphic>
          </wp:inline>
        </w:drawing>
      </w:r>
    </w:p>
    <w:p>
      <w:r>
        <w:pict>
          <v:rect style="width:0;height:1.5pt" o:hralign="center" o:hrstd="t" o:hr="t"/>
        </w:pict>
      </w:r>
    </w:p>
    <w:bookmarkStart w:id="23" w:name="análisis"/>
    <w:p>
      <w:pPr>
        <w:pStyle w:val="Heading3"/>
      </w:pPr>
      <w:r>
        <w:t xml:space="preserve">Análisis</w:t>
      </w:r>
    </w:p>
    <w:p>
      <w:pPr>
        <w:pStyle w:val="FirstParagraph"/>
      </w:pPr>
      <w:r>
        <w:t xml:space="preserve">Para determinar cuál de las gráficas (A, B, C o D) representa correctamente la función del costo de la boleta en un cine según la edad de la persona, debemos analizar cada una de las opciones en relación con la tabla proporcionada.</w:t>
      </w:r>
    </w:p>
    <w:p>
      <w:pPr>
        <w:pStyle w:val="BodyText"/>
      </w:pPr>
      <w:r>
        <w:t xml:space="preserve">La tabla muestra los siguientes datos: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Edad en años (x)</w:t>
            </w:r>
          </w:p>
        </w:tc>
        <w:tc>
          <w:tcPr/>
          <w:p>
            <w:pPr>
              <w:pStyle w:val="Compact"/>
              <w:jc w:val="left"/>
            </w:pPr>
            <w:r>
              <w:t xml:space="preserve">Costo en pesos (y)</w:t>
            </w:r>
          </w:p>
        </w:tc>
      </w:tr>
      <w:tr>
        <w:tc>
          <w:tcPr/>
          <w:p>
            <w:pPr>
              <w:pStyle w:val="Compact"/>
              <w:jc w:val="left"/>
            </w:pPr>
            <w:r>
              <w:t xml:space="preserve">Desde 0 y hasta 8</w:t>
            </w:r>
          </w:p>
        </w:tc>
        <w:tc>
          <w:tcPr/>
          <w:p>
            <w:pPr>
              <w:pStyle w:val="Compact"/>
              <w:jc w:val="left"/>
            </w:pPr>
            <w:r>
              <w:t xml:space="preserve">5,000</w:t>
            </w:r>
          </w:p>
        </w:tc>
      </w:tr>
      <w:tr>
        <w:tc>
          <w:tcPr/>
          <w:p>
            <w:pPr>
              <w:pStyle w:val="Compact"/>
              <w:jc w:val="left"/>
            </w:pPr>
            <w:r>
              <w:t xml:space="preserve">Más de 8 y hasta 16</w:t>
            </w:r>
          </w:p>
        </w:tc>
        <w:tc>
          <w:tcPr/>
          <w:p>
            <w:pPr>
              <w:pStyle w:val="Compact"/>
              <w:jc w:val="left"/>
            </w:pPr>
            <w:r>
              <w:t xml:space="preserve">7,000</w:t>
            </w:r>
          </w:p>
        </w:tc>
      </w:tr>
      <w:tr>
        <w:tc>
          <w:tcPr/>
          <w:p>
            <w:pPr>
              <w:pStyle w:val="Compact"/>
              <w:jc w:val="left"/>
            </w:pPr>
            <w:r>
              <w:t xml:space="preserve">Más de 16 y hasta 56</w:t>
            </w:r>
          </w:p>
        </w:tc>
        <w:tc>
          <w:tcPr/>
          <w:p>
            <w:pPr>
              <w:pStyle w:val="Compact"/>
              <w:jc w:val="left"/>
            </w:pPr>
            <w:r>
              <w:t xml:space="preserve">10,000</w:t>
            </w:r>
          </w:p>
        </w:tc>
      </w:tr>
      <w:tr>
        <w:tc>
          <w:tcPr/>
          <w:p>
            <w:pPr>
              <w:pStyle w:val="Compact"/>
              <w:jc w:val="left"/>
            </w:pPr>
            <w:r>
              <w:t xml:space="preserve">Más de 56</w:t>
            </w:r>
          </w:p>
        </w:tc>
        <w:tc>
          <w:tcPr/>
          <w:p>
            <w:pPr>
              <w:pStyle w:val="Compact"/>
              <w:jc w:val="left"/>
            </w:pPr>
            <w:r>
              <w:t xml:space="preserve">6,000</w:t>
            </w:r>
          </w:p>
        </w:tc>
      </w:tr>
    </w:tbl>
    <w:p>
      <w:pPr>
        <w:pStyle w:val="BodyText"/>
      </w:pPr>
      <w:r>
        <w:t xml:space="preserve">Ahora, analicemos cada gráfica:</w:t>
      </w:r>
    </w:p>
    <w:bookmarkEnd w:id="23"/>
    <w:bookmarkStart w:id="24" w:name="gráfica-a"/>
    <w:p>
      <w:pPr>
        <w:pStyle w:val="Heading3"/>
      </w:pPr>
      <w:r>
        <w:t xml:space="preserve">Gráfica A</w:t>
      </w:r>
    </w:p>
    <w:p>
      <w:pPr>
        <w:pStyle w:val="Compact"/>
        <w:numPr>
          <w:ilvl w:val="0"/>
          <w:numId w:val="1001"/>
        </w:numPr>
      </w:pPr>
      <w:r>
        <w:t xml:space="preserve">La gráfica muestra puntos discretos en los valores de</w:t>
      </w:r>
      <w:r>
        <w:t xml:space="preserve"> </w:t>
      </w:r>
      <m:oMath>
        <m:r>
          <m:t>x</m:t>
        </m:r>
      </m:oMath>
      <w:r>
        <w:t xml:space="preserve"> </w:t>
      </w:r>
      <w:r>
        <w:t xml:space="preserve">correspondientes a los intervalos de edad.</w:t>
      </w:r>
    </w:p>
    <w:p>
      <w:pPr>
        <w:pStyle w:val="Compact"/>
        <w:numPr>
          <w:ilvl w:val="0"/>
          <w:numId w:val="1001"/>
        </w:numPr>
      </w:pPr>
      <w:r>
        <w:t xml:space="preserve">Los valores de</w:t>
      </w:r>
      <w:r>
        <w:t xml:space="preserve"> </w:t>
      </w:r>
      <m:oMath>
        <m:r>
          <m:t>y</m:t>
        </m:r>
      </m:oMath>
      <w:r>
        <w:t xml:space="preserve"> </w:t>
      </w:r>
      <w:r>
        <w:t xml:space="preserve">son 5,000 para</w:t>
      </w:r>
      <w:r>
        <w:t xml:space="preserve"> </w:t>
      </w:r>
      <m:oMath>
        <m:r>
          <m:t>x</m:t>
        </m:r>
        <m:r>
          <m:rPr>
            <m:sty m:val="p"/>
          </m:rPr>
          <m:t>=</m:t>
        </m:r>
        <m:r>
          <m:t>0</m:t>
        </m:r>
      </m:oMath>
      <w:r>
        <w:t xml:space="preserve">, 7,000 para</w:t>
      </w:r>
      <w:r>
        <w:t xml:space="preserve"> </w:t>
      </w:r>
      <m:oMath>
        <m:r>
          <m:t>x</m:t>
        </m:r>
        <m:r>
          <m:rPr>
            <m:sty m:val="p"/>
          </m:rPr>
          <m:t>=</m:t>
        </m:r>
        <m:r>
          <m:t>8</m:t>
        </m:r>
      </m:oMath>
      <w:r>
        <w:t xml:space="preserve">, 10,000 para</w:t>
      </w:r>
      <w:r>
        <w:t xml:space="preserve"> </w:t>
      </w:r>
      <m:oMath>
        <m:r>
          <m:t>x</m:t>
        </m:r>
        <m:r>
          <m:rPr>
            <m:sty m:val="p"/>
          </m:rPr>
          <m:t>=</m:t>
        </m:r>
        <m:r>
          <m:t>16</m:t>
        </m:r>
      </m:oMath>
      <w:r>
        <w:t xml:space="preserve"> </w:t>
      </w:r>
      <w:r>
        <w:t xml:space="preserve">y 6,000 para</w:t>
      </w:r>
      <w:r>
        <w:t xml:space="preserve"> </w:t>
      </w:r>
      <m:oMath>
        <m:r>
          <m:t>x</m:t>
        </m:r>
        <m:r>
          <m:rPr>
            <m:sty m:val="p"/>
          </m:rPr>
          <m:t>=</m:t>
        </m:r>
        <m:r>
          <m:t>56</m:t>
        </m:r>
      </m:oMath>
      <w:r>
        <w:t xml:space="preserve">.</w:t>
      </w:r>
    </w:p>
    <w:p>
      <w:pPr>
        <w:pStyle w:val="Compact"/>
        <w:numPr>
          <w:ilvl w:val="0"/>
          <w:numId w:val="1001"/>
        </w:numPr>
      </w:pPr>
      <w:r>
        <w:t xml:space="preserve">Esta gráfica parece representar correctamente los datos de la tabla.</w:t>
      </w:r>
    </w:p>
    <w:bookmarkEnd w:id="24"/>
    <w:bookmarkStart w:id="25" w:name="gráfica-b"/>
    <w:p>
      <w:pPr>
        <w:pStyle w:val="Heading3"/>
      </w:pPr>
      <w:r>
        <w:t xml:space="preserve">Gráfica B</w:t>
      </w:r>
    </w:p>
    <w:p>
      <w:pPr>
        <w:pStyle w:val="Compact"/>
        <w:numPr>
          <w:ilvl w:val="0"/>
          <w:numId w:val="1002"/>
        </w:numPr>
      </w:pPr>
      <w:r>
        <w:t xml:space="preserve">La gráfica muestra una curva continua que no parece corresponder a los datos discretos de la tabla.</w:t>
      </w:r>
    </w:p>
    <w:p>
      <w:pPr>
        <w:pStyle w:val="Compact"/>
        <w:numPr>
          <w:ilvl w:val="0"/>
          <w:numId w:val="1002"/>
        </w:numPr>
      </w:pPr>
      <w:r>
        <w:t xml:space="preserve">Los valores de</w:t>
      </w:r>
      <w:r>
        <w:t xml:space="preserve"> </w:t>
      </w:r>
      <m:oMath>
        <m:r>
          <m:t>y</m:t>
        </m:r>
      </m:oMath>
      <w:r>
        <w:t xml:space="preserve"> </w:t>
      </w:r>
      <w:r>
        <w:t xml:space="preserve">no coinciden con los valores de la tabla en los puntos específicos de</w:t>
      </w:r>
      <w:r>
        <w:t xml:space="preserve"> </w:t>
      </w:r>
      <m:oMath>
        <m:r>
          <m:t>x</m:t>
        </m:r>
      </m:oMath>
      <w:r>
        <w:t xml:space="preserve">.</w:t>
      </w:r>
    </w:p>
    <w:bookmarkEnd w:id="25"/>
    <w:bookmarkStart w:id="26" w:name="gráfica-c"/>
    <w:p>
      <w:pPr>
        <w:pStyle w:val="Heading3"/>
      </w:pPr>
      <w:r>
        <w:t xml:space="preserve">Gráfica C</w:t>
      </w:r>
    </w:p>
    <w:p>
      <w:pPr>
        <w:pStyle w:val="Compact"/>
        <w:numPr>
          <w:ilvl w:val="0"/>
          <w:numId w:val="1003"/>
        </w:numPr>
      </w:pPr>
      <w:r>
        <w:t xml:space="preserve">La gráfica muestra una función escalonada, pero los valores de</w:t>
      </w:r>
      <w:r>
        <w:t xml:space="preserve"> </w:t>
      </w:r>
      <m:oMath>
        <m:r>
          <m:t>y</m:t>
        </m:r>
      </m:oMath>
      <w:r>
        <w:t xml:space="preserve"> </w:t>
      </w:r>
      <w:r>
        <w:t xml:space="preserve">no coinciden con los valores de la tabla.</w:t>
      </w:r>
    </w:p>
    <w:p>
      <w:pPr>
        <w:pStyle w:val="Compact"/>
        <w:numPr>
          <w:ilvl w:val="0"/>
          <w:numId w:val="1003"/>
        </w:numPr>
      </w:pPr>
      <w:r>
        <w:t xml:space="preserve">Los saltos en</w:t>
      </w:r>
      <w:r>
        <w:t xml:space="preserve"> </w:t>
      </w:r>
      <m:oMath>
        <m:r>
          <m:t>y</m:t>
        </m:r>
      </m:oMath>
      <w:r>
        <w:t xml:space="preserve"> </w:t>
      </w:r>
      <w:r>
        <w:t xml:space="preserve">no corresponden a los intervalos de edad definidos en la tabla.</w:t>
      </w:r>
    </w:p>
    <w:bookmarkEnd w:id="26"/>
    <w:bookmarkStart w:id="27" w:name="gráfica-d"/>
    <w:p>
      <w:pPr>
        <w:pStyle w:val="Heading3"/>
      </w:pPr>
      <w:r>
        <w:t xml:space="preserve">Gráfica D</w:t>
      </w:r>
    </w:p>
    <w:p>
      <w:pPr>
        <w:pStyle w:val="Compact"/>
        <w:numPr>
          <w:ilvl w:val="0"/>
          <w:numId w:val="1004"/>
        </w:numPr>
      </w:pPr>
      <w:r>
        <w:t xml:space="preserve">La gráfica muestra puntos discretos, pero los valores de</w:t>
      </w:r>
      <w:r>
        <w:t xml:space="preserve"> </w:t>
      </w:r>
      <m:oMath>
        <m:r>
          <m:t>y</m:t>
        </m:r>
      </m:oMath>
      <w:r>
        <w:t xml:space="preserve"> </w:t>
      </w:r>
      <w:r>
        <w:t xml:space="preserve">no coinciden con los valores de la tabla.</w:t>
      </w:r>
    </w:p>
    <w:p>
      <w:pPr>
        <w:pStyle w:val="Compact"/>
        <w:numPr>
          <w:ilvl w:val="0"/>
          <w:numId w:val="1004"/>
        </w:numPr>
      </w:pPr>
      <w:r>
        <w:t xml:space="preserve">Los puntos están en lugares incorrectos en relación con los intervalos de edad.</w:t>
      </w:r>
    </w:p>
    <w:bookmarkEnd w:id="27"/>
    <w:bookmarkStart w:id="28" w:name="conclusión"/>
    <w:p>
      <w:pPr>
        <w:pStyle w:val="Heading3"/>
      </w:pPr>
      <w:r>
        <w:t xml:space="preserve">Conclusión</w:t>
      </w:r>
    </w:p>
    <w:p>
      <w:pPr>
        <w:pStyle w:val="FirstParagraph"/>
      </w:pPr>
      <w:r>
        <w:t xml:space="preserve">La gráfica que mejor representa la función del costo de la boleta en un cine según la edad de la persona es la</w:t>
      </w:r>
      <w:r>
        <w:t xml:space="preserve"> </w:t>
      </w:r>
      <w:r>
        <w:rPr>
          <w:b/>
          <w:bCs/>
        </w:rPr>
        <w:t xml:space="preserve">Gráfica A</w:t>
      </w:r>
      <w:r>
        <w:t xml:space="preserve">. Esta gráfica muestra los puntos discretos correctos en los valores de</w:t>
      </w:r>
      <w:r>
        <w:t xml:space="preserve"> </w:t>
      </w:r>
      <m:oMath>
        <m:r>
          <m:t>x</m:t>
        </m:r>
      </m:oMath>
      <w:r>
        <w:t xml:space="preserve"> </w:t>
      </w:r>
      <w:r>
        <w:t xml:space="preserve">y</w:t>
      </w:r>
      <w:r>
        <w:t xml:space="preserve"> </w:t>
      </w:r>
      <m:oMath>
        <m:r>
          <m:t>y</m:t>
        </m:r>
      </m:oMath>
      <w:r>
        <w:t xml:space="preserve"> </w:t>
      </w:r>
      <w:r>
        <w:t xml:space="preserve">que corresponden a los intervalos de edad y costos definidos en la tabla.</w:t>
      </w:r>
    </w:p>
    <w:p>
      <w:pPr>
        <w:pStyle w:val="BodyText"/>
      </w:pPr>
      <w:r>
        <w:t xml:space="preserve">Por lo tanto, la opción correcta es</w:t>
      </w:r>
      <w:r>
        <w:t xml:space="preserve"> </w:t>
      </w:r>
      <w:r>
        <w:rPr>
          <w:b/>
          <w:bCs/>
        </w:rPr>
        <w:t xml:space="preserve">A</w:t>
      </w:r>
      <w:r>
        <w:t xml:space="preserve">.</w:t>
      </w:r>
    </w:p>
    <w:p>
      <w:r>
        <w:pict>
          <v:rect style="width:0;height:1.5pt" o:hralign="center" o:hrstd="t" o:hr="t"/>
        </w:pict>
      </w:r>
    </w:p>
    <w:bookmarkEnd w:id="28"/>
    <w:bookmarkStart w:id="29" w:name="Xb72b07bb31b8cf47b840733470a97087ab0767f"/>
    <w:p>
      <w:pPr>
        <w:pStyle w:val="Heading3"/>
      </w:pPr>
      <w:r>
        <w:t xml:space="preserve">Análisis de la Pregunta 2023-Matematicas-11-1-08, según SABER 11 ICFES</w:t>
      </w:r>
    </w:p>
    <w:p>
      <w:pPr>
        <w:pStyle w:val="Compact"/>
        <w:numPr>
          <w:ilvl w:val="0"/>
          <w:numId w:val="1005"/>
        </w:numPr>
      </w:pPr>
      <w:r>
        <w:t xml:space="preserve">Nivel de Desempeño: 3</w:t>
      </w:r>
    </w:p>
    <w:p>
      <w:pPr>
        <w:pStyle w:val="Compact"/>
        <w:numPr>
          <w:ilvl w:val="0"/>
          <w:numId w:val="1005"/>
        </w:numPr>
      </w:pPr>
      <w:r>
        <w:t xml:space="preserve">Competencia: Interpretación y Representación</w:t>
      </w:r>
    </w:p>
    <w:p>
      <w:pPr>
        <w:pStyle w:val="Compact"/>
        <w:numPr>
          <w:ilvl w:val="1"/>
          <w:numId w:val="1006"/>
        </w:numPr>
      </w:pPr>
      <w:r>
        <w:t xml:space="preserve">Afirmación: Comprende y transforma la información cuantitativa y esquemática presentada en distintos formatos</w:t>
      </w:r>
    </w:p>
    <w:p>
      <w:pPr>
        <w:pStyle w:val="Compact"/>
        <w:numPr>
          <w:ilvl w:val="1"/>
          <w:numId w:val="1006"/>
        </w:numPr>
      </w:pPr>
      <w:r>
        <w:t xml:space="preserve">Evidencia: Da cuenta de las características básicas de la información presentada en diferentes formatos como series, gráficas, tablas y esquemas</w:t>
      </w:r>
    </w:p>
    <w:p>
      <w:pPr>
        <w:pStyle w:val="Compact"/>
        <w:numPr>
          <w:ilvl w:val="0"/>
          <w:numId w:val="1005"/>
        </w:numPr>
      </w:pPr>
      <w:r>
        <w:t xml:space="preserve">Componente: Numérico-Variacional</w:t>
      </w:r>
    </w:p>
    <w:p>
      <w:pPr>
        <w:pStyle w:val="Compact"/>
        <w:numPr>
          <w:ilvl w:val="0"/>
          <w:numId w:val="1005"/>
        </w:numPr>
      </w:pPr>
      <w:r>
        <w:t xml:space="preserve">Estándar Asociado: Interpreto y comparo resultados de estudios con información estadística provenientes de medios de comunicación.</w:t>
      </w:r>
    </w:p>
    <w:p>
      <w:pPr>
        <w:pStyle w:val="Compact"/>
        <w:numPr>
          <w:ilvl w:val="0"/>
          <w:numId w:val="1005"/>
        </w:numPr>
      </w:pPr>
      <w:r>
        <w:t xml:space="preserve">¿Qué evalúa?: La capacidad de interpretar información presentada en una tabla de datos y relacionarla con su representación gráfica correcta.</w:t>
      </w:r>
    </w:p>
    <w:bookmarkEnd w:id="29"/>
    <w:bookmarkStart w:id="32" w:name="respuesta-correcta-a"/>
    <w:p>
      <w:pPr>
        <w:pStyle w:val="Heading2"/>
      </w:pPr>
      <w:r>
        <w:t xml:space="preserve">Respuesta Correcta: A</w:t>
      </w:r>
    </w:p>
    <w:bookmarkStart w:id="30" w:name="justificación"/>
    <w:p>
      <w:pPr>
        <w:pStyle w:val="Heading3"/>
      </w:pPr>
      <w:r>
        <w:t xml:space="preserve">Justificación</w:t>
      </w:r>
    </w:p>
    <w:p>
      <w:pPr>
        <w:pStyle w:val="FirstParagraph"/>
      </w:pPr>
      <w:r>
        <w:t xml:space="preserve">La gráfica A representa correctamente la función por tramos definida en la tabla porque:</w:t>
      </w:r>
    </w:p>
    <w:p>
      <w:pPr>
        <w:pStyle w:val="Compact"/>
        <w:numPr>
          <w:ilvl w:val="0"/>
          <w:numId w:val="1007"/>
        </w:numPr>
      </w:pPr>
      <w:r>
        <w:t xml:space="preserve">Muestra los puntos de cambio en los valores exactos de edad:</w:t>
      </w:r>
      <w:r>
        <w:t xml:space="preserve"> </w:t>
      </w:r>
      <m:oMath>
        <m:r>
          <m:t>x</m:t>
        </m:r>
        <m:r>
          <m:rPr>
            <m:sty m:val="p"/>
          </m:rPr>
          <m:t>=</m:t>
        </m:r>
        <m:r>
          <m:t>8</m:t>
        </m:r>
      </m:oMath>
      <w:r>
        <w:t xml:space="preserve">,</w:t>
      </w:r>
      <w:r>
        <w:t xml:space="preserve"> </w:t>
      </w:r>
      <m:oMath>
        <m:r>
          <m:t>x</m:t>
        </m:r>
        <m:r>
          <m:rPr>
            <m:sty m:val="p"/>
          </m:rPr>
          <m:t>=</m:t>
        </m:r>
        <m:r>
          <m:t>16</m:t>
        </m:r>
      </m:oMath>
      <w:r>
        <w:t xml:space="preserve"> </w:t>
      </w:r>
      <w:r>
        <w:t xml:space="preserve">y</w:t>
      </w:r>
      <w:r>
        <w:t xml:space="preserve"> </w:t>
      </w:r>
      <m:oMath>
        <m:r>
          <m:t>x</m:t>
        </m:r>
        <m:r>
          <m:rPr>
            <m:sty m:val="p"/>
          </m:rPr>
          <m:t>=</m:t>
        </m:r>
        <m:r>
          <m:t>56</m:t>
        </m:r>
      </m:oMath>
    </w:p>
    <w:p>
      <w:pPr>
        <w:pStyle w:val="Compact"/>
        <w:numPr>
          <w:ilvl w:val="0"/>
          <w:numId w:val="1007"/>
        </w:numPr>
      </w:pPr>
      <w:r>
        <w:t xml:space="preserve">Representa los valores constantes del costo para cada intervalo:</w:t>
      </w:r>
    </w:p>
    <w:p>
      <w:pPr>
        <w:pStyle w:val="Compact"/>
        <w:numPr>
          <w:ilvl w:val="1"/>
          <w:numId w:val="1008"/>
        </w:numPr>
      </w:pPr>
      <m:oMath>
        <m:r>
          <m:t>y</m:t>
        </m:r>
        <m:r>
          <m:rPr>
            <m:sty m:val="p"/>
          </m:rPr>
          <m:t>=</m:t>
        </m:r>
        <m:r>
          <m:t>5</m:t>
        </m:r>
        <m:r>
          <m:rPr>
            <m:sty m:val="p"/>
          </m:rPr>
          <m:t>,</m:t>
        </m:r>
        <m:r>
          <m:t>000</m:t>
        </m:r>
      </m:oMath>
      <w:r>
        <w:t xml:space="preserve"> </w:t>
      </w:r>
      <w:r>
        <w:t xml:space="preserve">para</w:t>
      </w:r>
      <w:r>
        <w:t xml:space="preserve"> </w:t>
      </w:r>
      <m:oMath>
        <m:d>
          <m:dPr>
            <m:begChr m:val="["/>
            <m:endChr m:val="]"/>
            <m:sepChr m:val=""/>
            <m:grow/>
          </m:dPr>
          <m:e>
            <m:r>
              <m:t>0</m:t>
            </m:r>
            <m:r>
              <m:rPr>
                <m:sty m:val="p"/>
              </m:rPr>
              <m:t>,</m:t>
            </m:r>
            <m:r>
              <m:t>8</m:t>
            </m:r>
          </m:e>
        </m:d>
      </m:oMath>
    </w:p>
    <w:p>
      <w:pPr>
        <w:pStyle w:val="Compact"/>
        <w:numPr>
          <w:ilvl w:val="1"/>
          <w:numId w:val="1008"/>
        </w:numPr>
      </w:pPr>
      <m:oMath>
        <m:r>
          <m:t>y</m:t>
        </m:r>
        <m:r>
          <m:rPr>
            <m:sty m:val="p"/>
          </m:rPr>
          <m:t>=</m:t>
        </m:r>
        <m:r>
          <m:t>7</m:t>
        </m:r>
        <m:r>
          <m:rPr>
            <m:sty m:val="p"/>
          </m:rPr>
          <m:t>,</m:t>
        </m:r>
        <m:r>
          <m:t>000</m:t>
        </m:r>
      </m:oMath>
      <w:r>
        <w:t xml:space="preserve"> </w:t>
      </w:r>
      <w:r>
        <w:t xml:space="preserve">para</w:t>
      </w:r>
      <w:r>
        <w:t xml:space="preserve"> </w:t>
      </w:r>
      <m:oMath>
        <m:r>
          <m:rPr>
            <m:sty m:val="p"/>
          </m:rPr>
          <m:t>(</m:t>
        </m:r>
        <m:r>
          <m:t>8</m:t>
        </m:r>
        <m:r>
          <m:rPr>
            <m:sty m:val="p"/>
          </m:rPr>
          <m:t>,</m:t>
        </m:r>
        <m:r>
          <m:t>16</m:t>
        </m:r>
        <m:r>
          <m:rPr>
            <m:sty m:val="p"/>
          </m:rPr>
          <m:t>]</m:t>
        </m:r>
      </m:oMath>
    </w:p>
    <w:p>
      <w:pPr>
        <w:pStyle w:val="Compact"/>
        <w:numPr>
          <w:ilvl w:val="1"/>
          <w:numId w:val="1008"/>
        </w:numPr>
      </w:pPr>
      <m:oMath>
        <m:r>
          <m:t>y</m:t>
        </m:r>
        <m:r>
          <m:rPr>
            <m:sty m:val="p"/>
          </m:rPr>
          <m:t>=</m:t>
        </m:r>
        <m:r>
          <m:t>10</m:t>
        </m:r>
        <m:r>
          <m:rPr>
            <m:sty m:val="p"/>
          </m:rPr>
          <m:t>,</m:t>
        </m:r>
        <m:r>
          <m:t>000</m:t>
        </m:r>
      </m:oMath>
      <w:r>
        <w:t xml:space="preserve"> </w:t>
      </w:r>
      <w:r>
        <w:t xml:space="preserve">para</w:t>
      </w:r>
      <w:r>
        <w:t xml:space="preserve"> </w:t>
      </w:r>
      <m:oMath>
        <m:r>
          <m:rPr>
            <m:sty m:val="p"/>
          </m:rPr>
          <m:t>(</m:t>
        </m:r>
        <m:r>
          <m:t>16</m:t>
        </m:r>
        <m:r>
          <m:rPr>
            <m:sty m:val="p"/>
          </m:rPr>
          <m:t>,</m:t>
        </m:r>
        <m:r>
          <m:t>56</m:t>
        </m:r>
        <m:r>
          <m:rPr>
            <m:sty m:val="p"/>
          </m:rPr>
          <m:t>]</m:t>
        </m:r>
      </m:oMath>
    </w:p>
    <w:p>
      <w:pPr>
        <w:pStyle w:val="Compact"/>
        <w:numPr>
          <w:ilvl w:val="1"/>
          <w:numId w:val="1008"/>
        </w:numPr>
      </w:pPr>
      <m:oMath>
        <m:r>
          <m:t>y</m:t>
        </m:r>
        <m:r>
          <m:rPr>
            <m:sty m:val="p"/>
          </m:rPr>
          <m:t>=</m:t>
        </m:r>
        <m:r>
          <m:t>6</m:t>
        </m:r>
        <m:r>
          <m:rPr>
            <m:sty m:val="p"/>
          </m:rPr>
          <m:t>,</m:t>
        </m:r>
        <m:r>
          <m:t>000</m:t>
        </m:r>
      </m:oMath>
      <w:r>
        <w:t xml:space="preserve"> </w:t>
      </w:r>
      <w:r>
        <w:t xml:space="preserve">para</w:t>
      </w:r>
      <w:r>
        <w:t xml:space="preserve"> </w:t>
      </w:r>
      <m:oMath>
        <m:r>
          <m:t>x</m:t>
        </m:r>
        <m:r>
          <m:rPr>
            <m:sty m:val="p"/>
          </m:rPr>
          <m:t>&gt;</m:t>
        </m:r>
        <m:r>
          <m:t>56</m:t>
        </m:r>
      </m:oMath>
    </w:p>
    <w:bookmarkEnd w:id="30"/>
    <w:bookmarkStart w:id="31" w:name="distractores"/>
    <w:p>
      <w:pPr>
        <w:pStyle w:val="Heading3"/>
      </w:pPr>
      <w:r>
        <w:t xml:space="preserve">Distractores</w:t>
      </w:r>
    </w:p>
    <w:p>
      <w:pPr>
        <w:pStyle w:val="Compact"/>
        <w:numPr>
          <w:ilvl w:val="0"/>
          <w:numId w:val="1009"/>
        </w:numPr>
      </w:pPr>
      <w:r>
        <w:rPr>
          <w:b/>
          <w:bCs/>
        </w:rPr>
        <w:t xml:space="preserve">Opción B</w:t>
      </w:r>
      <w:r>
        <w:t xml:space="preserve">: Los estudiantes eligen esta opción cuando:</w:t>
      </w:r>
    </w:p>
    <w:p>
      <w:pPr>
        <w:pStyle w:val="Compact"/>
        <w:numPr>
          <w:ilvl w:val="1"/>
          <w:numId w:val="1010"/>
        </w:numPr>
      </w:pPr>
      <w:r>
        <w:t xml:space="preserve">Interpretan erróneamente que la función debe ser continua y suave</w:t>
      </w:r>
    </w:p>
    <w:p>
      <w:pPr>
        <w:pStyle w:val="Compact"/>
        <w:numPr>
          <w:ilvl w:val="1"/>
          <w:numId w:val="1010"/>
        </w:numPr>
      </w:pPr>
      <w:r>
        <w:t xml:space="preserve">No comprenden que los precios son constantes por intervalos</w:t>
      </w:r>
    </w:p>
    <w:p>
      <w:pPr>
        <w:pStyle w:val="Compact"/>
        <w:numPr>
          <w:ilvl w:val="1"/>
          <w:numId w:val="1010"/>
        </w:numPr>
      </w:pPr>
      <w:r>
        <w:t xml:space="preserve">Confunden la representación de una función por tramos con una función continua</w:t>
      </w:r>
    </w:p>
    <w:p>
      <w:pPr>
        <w:pStyle w:val="Compact"/>
        <w:numPr>
          <w:ilvl w:val="0"/>
          <w:numId w:val="1009"/>
        </w:numPr>
      </w:pPr>
      <w:r>
        <w:rPr>
          <w:b/>
          <w:bCs/>
        </w:rPr>
        <w:t xml:space="preserve">Opción C</w:t>
      </w:r>
      <w:r>
        <w:t xml:space="preserve">: Los estudiantes eligen esta opción cuando:</w:t>
      </w:r>
    </w:p>
    <w:p>
      <w:pPr>
        <w:pStyle w:val="Compact"/>
        <w:numPr>
          <w:ilvl w:val="1"/>
          <w:numId w:val="1011"/>
        </w:numPr>
      </w:pPr>
      <w:r>
        <w:t xml:space="preserve">Aunque reconocen que debe ser una función escalonada, no verifican que los valores de y correspondan exactamente con los de la tabla</w:t>
      </w:r>
    </w:p>
    <w:p>
      <w:pPr>
        <w:pStyle w:val="Compact"/>
        <w:numPr>
          <w:ilvl w:val="1"/>
          <w:numId w:val="1011"/>
        </w:numPr>
      </w:pPr>
      <w:r>
        <w:t xml:space="preserve">No validan que los saltos ocurran en los puntos correctos de x</w:t>
      </w:r>
    </w:p>
    <w:p>
      <w:pPr>
        <w:pStyle w:val="Compact"/>
        <w:numPr>
          <w:ilvl w:val="1"/>
          <w:numId w:val="1011"/>
        </w:numPr>
      </w:pPr>
      <w:r>
        <w:t xml:space="preserve">Confunden la altura de los escalones con los valores dados</w:t>
      </w:r>
    </w:p>
    <w:p>
      <w:pPr>
        <w:pStyle w:val="Compact"/>
        <w:numPr>
          <w:ilvl w:val="0"/>
          <w:numId w:val="1009"/>
        </w:numPr>
      </w:pPr>
      <w:r>
        <w:rPr>
          <w:b/>
          <w:bCs/>
        </w:rPr>
        <w:t xml:space="preserve">Opción D</w:t>
      </w:r>
      <w:r>
        <w:t xml:space="preserve">: Los estudiantes eligen esta opción cuando:</w:t>
      </w:r>
    </w:p>
    <w:p>
      <w:pPr>
        <w:pStyle w:val="Compact"/>
        <w:numPr>
          <w:ilvl w:val="1"/>
          <w:numId w:val="1012"/>
        </w:numPr>
      </w:pPr>
      <w:r>
        <w:t xml:space="preserve">No comprenden que los puntos deben estar conectados por segmentos horizontales</w:t>
      </w:r>
    </w:p>
    <w:p>
      <w:pPr>
        <w:pStyle w:val="Compact"/>
        <w:numPr>
          <w:ilvl w:val="1"/>
          <w:numId w:val="1012"/>
        </w:numPr>
      </w:pPr>
      <w:r>
        <w:t xml:space="preserve">Interpretan cada dato como un punto aislado sin considerar los intervalos</w:t>
      </w:r>
    </w:p>
    <w:p>
      <w:pPr>
        <w:pStyle w:val="Compact"/>
        <w:numPr>
          <w:ilvl w:val="1"/>
          <w:numId w:val="1012"/>
        </w:numPr>
      </w:pPr>
      <w:r>
        <w:t xml:space="preserve">No validan la correspondencia entre los valores de x y y con la tabla</w:t>
      </w:r>
    </w:p>
    <w:bookmarkEnd w:id="31"/>
    <w:bookmarkEnd w:id="32"/>
    <w:bookmarkStart w:id="33" w:name="contenidos-matemáticos-curriculares"/>
    <w:p>
      <w:pPr>
        <w:pStyle w:val="Heading2"/>
      </w:pPr>
      <w:r>
        <w:t xml:space="preserve">Contenidos Matemáticos Curriculares</w:t>
      </w:r>
    </w:p>
    <w:p>
      <w:pPr>
        <w:pStyle w:val="Compact"/>
        <w:numPr>
          <w:ilvl w:val="0"/>
          <w:numId w:val="1013"/>
        </w:numPr>
      </w:pPr>
      <w:r>
        <w:t xml:space="preserve">Álgebra y Cálculo</w:t>
      </w:r>
    </w:p>
    <w:p>
      <w:pPr>
        <w:pStyle w:val="Compact"/>
        <w:numPr>
          <w:ilvl w:val="0"/>
          <w:numId w:val="1013"/>
        </w:numPr>
      </w:pPr>
      <w:r>
        <w:t xml:space="preserve">Período 4</w:t>
      </w:r>
    </w:p>
    <w:p>
      <w:pPr>
        <w:pStyle w:val="Compact"/>
        <w:numPr>
          <w:ilvl w:val="1"/>
          <w:numId w:val="1014"/>
        </w:numPr>
      </w:pPr>
      <w:r>
        <w:t xml:space="preserve">Funciones</w:t>
      </w:r>
    </w:p>
    <w:p>
      <w:pPr>
        <w:pStyle w:val="Compact"/>
        <w:numPr>
          <w:ilvl w:val="2"/>
          <w:numId w:val="1015"/>
        </w:numPr>
      </w:pPr>
      <w:r>
        <w:t xml:space="preserve">Representación gráfica de funciones</w:t>
      </w:r>
    </w:p>
    <w:p>
      <w:pPr>
        <w:pStyle w:val="Compact"/>
        <w:numPr>
          <w:ilvl w:val="2"/>
          <w:numId w:val="1015"/>
        </w:numPr>
      </w:pPr>
      <w:r>
        <w:t xml:space="preserve">Funciones por tramos</w:t>
      </w:r>
    </w:p>
    <w:bookmarkEnd w:id="33"/>
    <w:bookmarkStart w:id="34" w:name="tipo-genérico"/>
    <w:p>
      <w:pPr>
        <w:pStyle w:val="Heading2"/>
      </w:pPr>
      <w:r>
        <w:t xml:space="preserve">Tipo: Genérico</w:t>
      </w:r>
    </w:p>
    <w:bookmarkEnd w:id="34"/>
    <w:bookmarkStart w:id="35" w:name="eje-axial-disciplinar-eje-3-funciones-i"/>
    <w:p>
      <w:pPr>
        <w:pStyle w:val="Heading2"/>
      </w:pPr>
      <w:r>
        <w:t xml:space="preserve">Eje Axial Disciplinar: Eje 3 (Funciones I)</w:t>
      </w:r>
    </w:p>
    <w:bookmarkEnd w:id="35"/>
    <w:bookmarkStart w:id="36" w:name="tarea"/>
    <w:p>
      <w:pPr>
        <w:pStyle w:val="Heading2"/>
      </w:pPr>
      <w:r>
        <w:t xml:space="preserve">Tarea</w:t>
      </w:r>
    </w:p>
    <w:p>
      <w:pPr>
        <w:pStyle w:val="FirstParagraph"/>
      </w:pPr>
      <w:r>
        <w:t xml:space="preserve">Interpretar y seleccionar la representación gráfica correcta de una función definida por tramos a partir de información presentada en una tabla.</w:t>
      </w:r>
    </w:p>
    <w:bookmarkEnd w:id="36"/>
    <w:bookmarkStart w:id="37" w:name="grado-10---11"/>
    <w:p>
      <w:pPr>
        <w:pStyle w:val="Heading2"/>
      </w:pPr>
      <w:r>
        <w:t xml:space="preserve">Grado: 10° - 11°</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2025-01-20T02:50:47Z</dcterms:created>
  <dcterms:modified xsi:type="dcterms:W3CDTF">2025-01-20T02:50:47Z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