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pict>
          <v:shape style="position:absolute;margin-left:439.570038pt;margin-top:581.627197pt;width:10.2pt;height:10.1pt;mso-position-horizontal-relative:page;mso-position-vertical-relative:page;z-index:-251803648" type="#_x0000_t202" filled="false" stroked="false">
            <v:textbox inset="0,0,0,0">
              <w:txbxContent>
                <w:p>
                  <w:pPr>
                    <w:pStyle w:val="BodyText"/>
                    <w:spacing w:line="191" w:lineRule="exact" w:before="11"/>
                    <w:rPr>
                      <w:rFonts w:ascii="Times New Roman"/>
                    </w:rPr>
                  </w:pPr>
                  <w:r>
                    <w:rPr>
                      <w:rFonts w:ascii="Times New Roman"/>
                      <w:color w:val="231F20"/>
                    </w:rPr>
                    <w:t>59</w:t>
                  </w:r>
                </w:p>
              </w:txbxContent>
            </v:textbox>
            <w10:wrap type="none"/>
          </v:shape>
        </w:pict>
      </w:r>
    </w:p>
    <w:p>
      <w:pPr>
        <w:pStyle w:val="BodyText"/>
        <w:spacing w:before="11"/>
        <w:rPr>
          <w:rFonts w:ascii="Times New Roman"/>
          <w:sz w:val="11"/>
        </w:rPr>
      </w:pPr>
    </w:p>
    <w:p>
      <w:pPr>
        <w:pStyle w:val="BodyText"/>
        <w:ind w:left="291"/>
        <w:rPr>
          <w:rFonts w:ascii="Times New Roman"/>
        </w:rPr>
      </w:pPr>
      <w:r>
        <w:rPr>
          <w:rFonts w:ascii="Times New Roman"/>
          <w:position w:val="0"/>
        </w:rPr>
        <w:pict>
          <v:shape style="width:424.2pt;height:17.25pt;mso-position-horizontal-relative:char;mso-position-vertical-relative:line" type="#_x0000_t202" filled="true" fillcolor="#e6e7e8" stroked="true" strokeweight=".583126pt" strokecolor="#231f20">
            <w10:anchorlock/>
            <v:textbox inset="0,0,0,0">
              <w:txbxContent>
                <w:p>
                  <w:pPr>
                    <w:spacing w:before="24"/>
                    <w:ind w:left="3521" w:right="3521" w:firstLine="0"/>
                    <w:jc w:val="center"/>
                    <w:rPr>
                      <w:b/>
                      <w:sz w:val="25"/>
                    </w:rPr>
                  </w:pPr>
                  <w:r>
                    <w:rPr>
                      <w:b/>
                      <w:color w:val="231F20"/>
                      <w:sz w:val="25"/>
                    </w:rPr>
                    <w:t>BRÛLURES</w:t>
                  </w:r>
                </w:p>
              </w:txbxContent>
            </v:textbox>
            <v:fill type="solid"/>
            <v:stroke dashstyle="solid"/>
          </v:shape>
        </w:pict>
      </w:r>
      <w:r>
        <w:rPr>
          <w:rFonts w:ascii="Times New Roman"/>
          <w:position w:val="0"/>
        </w:rPr>
      </w:r>
    </w:p>
    <w:p>
      <w:pPr>
        <w:pStyle w:val="BodyText"/>
        <w:spacing w:before="10"/>
        <w:rPr>
          <w:rFonts w:ascii="Times New Roman"/>
          <w:sz w:val="7"/>
        </w:rPr>
      </w:pPr>
    </w:p>
    <w:p>
      <w:pPr>
        <w:pStyle w:val="Heading1"/>
        <w:spacing w:before="101"/>
      </w:pPr>
      <w:r>
        <w:rPr>
          <w:color w:val="231F20"/>
          <w:u w:val="thick" w:color="231F20"/>
        </w:rPr>
        <w:t>1. Définition des cas</w:t>
      </w:r>
    </w:p>
    <w:p>
      <w:pPr>
        <w:spacing w:before="113"/>
        <w:ind w:left="403" w:right="0" w:firstLine="0"/>
        <w:jc w:val="left"/>
        <w:rPr>
          <w:b/>
          <w:sz w:val="20"/>
        </w:rPr>
      </w:pPr>
      <w:r>
        <w:rPr>
          <w:b/>
          <w:color w:val="231F20"/>
          <w:sz w:val="20"/>
        </w:rPr>
        <w:t>Identification du degré de la brûlure :</w:t>
      </w:r>
    </w:p>
    <w:p>
      <w:pPr>
        <w:tabs>
          <w:tab w:pos="2864" w:val="left" w:leader="none"/>
        </w:tabs>
        <w:spacing w:before="55"/>
        <w:ind w:left="403" w:right="0" w:firstLine="0"/>
        <w:jc w:val="left"/>
        <w:rPr>
          <w:sz w:val="20"/>
        </w:rPr>
      </w:pPr>
      <w:r>
        <w:rPr>
          <w:b/>
          <w:color w:val="231F20"/>
          <w:sz w:val="20"/>
        </w:rPr>
        <w:t>Premier</w:t>
      </w:r>
      <w:r>
        <w:rPr>
          <w:b/>
          <w:color w:val="231F20"/>
          <w:spacing w:val="-1"/>
          <w:sz w:val="20"/>
        </w:rPr>
        <w:t> </w:t>
      </w:r>
      <w:r>
        <w:rPr>
          <w:b/>
          <w:color w:val="231F20"/>
          <w:sz w:val="20"/>
        </w:rPr>
        <w:t>degré</w:t>
      </w:r>
      <w:r>
        <w:rPr>
          <w:b/>
          <w:color w:val="231F20"/>
          <w:spacing w:val="1"/>
          <w:sz w:val="20"/>
        </w:rPr>
        <w:t> </w:t>
      </w:r>
      <w:r>
        <w:rPr>
          <w:b/>
          <w:color w:val="231F20"/>
          <w:sz w:val="20"/>
        </w:rPr>
        <w:t>:</w:t>
        <w:tab/>
      </w:r>
      <w:r>
        <w:rPr>
          <w:color w:val="231F20"/>
          <w:sz w:val="20"/>
        </w:rPr>
        <w:t>douleur +++, pas de</w:t>
      </w:r>
      <w:r>
        <w:rPr>
          <w:color w:val="231F20"/>
          <w:spacing w:val="6"/>
          <w:sz w:val="20"/>
        </w:rPr>
        <w:t> </w:t>
      </w:r>
      <w:r>
        <w:rPr>
          <w:color w:val="231F20"/>
          <w:sz w:val="20"/>
        </w:rPr>
        <w:t>vésicules.</w:t>
      </w:r>
    </w:p>
    <w:p>
      <w:pPr>
        <w:tabs>
          <w:tab w:pos="2864" w:val="left" w:leader="none"/>
        </w:tabs>
        <w:spacing w:before="38"/>
        <w:ind w:left="403" w:right="0" w:firstLine="0"/>
        <w:jc w:val="left"/>
        <w:rPr>
          <w:sz w:val="20"/>
        </w:rPr>
      </w:pPr>
      <w:r>
        <w:rPr>
          <w:b/>
          <w:color w:val="231F20"/>
          <w:sz w:val="20"/>
        </w:rPr>
        <w:t>Deuxième degré</w:t>
      </w:r>
      <w:r>
        <w:rPr>
          <w:color w:val="231F20"/>
          <w:sz w:val="20"/>
        </w:rPr>
        <w:t>:</w:t>
        <w:tab/>
        <w:t>douleurs +++, phlyctènes, surface rouge sur la</w:t>
      </w:r>
      <w:r>
        <w:rPr>
          <w:color w:val="231F20"/>
          <w:spacing w:val="5"/>
          <w:sz w:val="20"/>
        </w:rPr>
        <w:t> </w:t>
      </w:r>
      <w:r>
        <w:rPr>
          <w:color w:val="231F20"/>
          <w:sz w:val="20"/>
        </w:rPr>
        <w:t>peau.</w:t>
      </w:r>
    </w:p>
    <w:p>
      <w:pPr>
        <w:tabs>
          <w:tab w:pos="2864" w:val="left" w:leader="none"/>
        </w:tabs>
        <w:spacing w:before="36"/>
        <w:ind w:left="403" w:right="0" w:firstLine="0"/>
        <w:jc w:val="left"/>
        <w:rPr>
          <w:sz w:val="20"/>
        </w:rPr>
      </w:pPr>
      <w:r>
        <w:rPr>
          <w:b/>
          <w:color w:val="231F20"/>
          <w:sz w:val="20"/>
        </w:rPr>
        <w:t>Troisième degré</w:t>
      </w:r>
      <w:r>
        <w:rPr>
          <w:b/>
          <w:color w:val="231F20"/>
          <w:spacing w:val="3"/>
          <w:sz w:val="20"/>
        </w:rPr>
        <w:t> </w:t>
      </w:r>
      <w:r>
        <w:rPr>
          <w:b/>
          <w:color w:val="231F20"/>
          <w:sz w:val="20"/>
        </w:rPr>
        <w:t>:</w:t>
        <w:tab/>
      </w:r>
      <w:r>
        <w:rPr>
          <w:color w:val="231F20"/>
          <w:sz w:val="20"/>
        </w:rPr>
        <w:t>douleurs moindres, peau enlevée, surface</w:t>
      </w:r>
      <w:r>
        <w:rPr>
          <w:color w:val="231F20"/>
          <w:spacing w:val="-5"/>
          <w:sz w:val="20"/>
        </w:rPr>
        <w:t> </w:t>
      </w:r>
      <w:r>
        <w:rPr>
          <w:color w:val="231F20"/>
          <w:sz w:val="20"/>
        </w:rPr>
        <w:t>blanchâtre.</w:t>
      </w:r>
    </w:p>
    <w:p>
      <w:pPr>
        <w:tabs>
          <w:tab w:pos="2864" w:val="left" w:leader="none"/>
        </w:tabs>
        <w:spacing w:before="41"/>
        <w:ind w:left="403" w:right="0" w:firstLine="0"/>
        <w:jc w:val="left"/>
        <w:rPr>
          <w:sz w:val="20"/>
        </w:rPr>
      </w:pPr>
      <w:r>
        <w:rPr>
          <w:b/>
          <w:color w:val="231F20"/>
          <w:sz w:val="20"/>
        </w:rPr>
        <w:t>Quatrième degré</w:t>
      </w:r>
      <w:r>
        <w:rPr>
          <w:b/>
          <w:color w:val="231F20"/>
          <w:spacing w:val="3"/>
          <w:sz w:val="20"/>
        </w:rPr>
        <w:t> </w:t>
      </w:r>
      <w:r>
        <w:rPr>
          <w:b/>
          <w:color w:val="231F20"/>
          <w:sz w:val="20"/>
        </w:rPr>
        <w:t>:</w:t>
        <w:tab/>
      </w:r>
      <w:r>
        <w:rPr>
          <w:color w:val="231F20"/>
          <w:sz w:val="20"/>
        </w:rPr>
        <w:t>pas de douleurs dans ces endroits spécifiques, surface</w:t>
      </w:r>
      <w:r>
        <w:rPr>
          <w:color w:val="231F20"/>
          <w:spacing w:val="1"/>
          <w:sz w:val="20"/>
        </w:rPr>
        <w:t> </w:t>
      </w:r>
      <w:r>
        <w:rPr>
          <w:color w:val="231F20"/>
          <w:sz w:val="20"/>
        </w:rPr>
        <w:t>noire</w:t>
      </w:r>
    </w:p>
    <w:p>
      <w:pPr>
        <w:pStyle w:val="BodyText"/>
        <w:spacing w:before="1"/>
        <w:ind w:left="7501"/>
      </w:pPr>
      <w:r>
        <w:rPr>
          <w:color w:val="231F20"/>
        </w:rPr>
        <w:t>carbonisée).</w:t>
      </w:r>
    </w:p>
    <w:p>
      <w:pPr>
        <w:pStyle w:val="Heading1"/>
        <w:spacing w:before="36"/>
        <w:jc w:val="both"/>
      </w:pPr>
      <w:r>
        <w:rPr>
          <w:color w:val="231F20"/>
        </w:rPr>
        <w:t>Remarque :</w:t>
      </w:r>
    </w:p>
    <w:p>
      <w:pPr>
        <w:pStyle w:val="ListParagraph"/>
        <w:numPr>
          <w:ilvl w:val="0"/>
          <w:numId w:val="1"/>
        </w:numPr>
        <w:tabs>
          <w:tab w:pos="733" w:val="left" w:leader="none"/>
        </w:tabs>
        <w:spacing w:line="242" w:lineRule="auto" w:before="55" w:after="0"/>
        <w:ind w:left="732" w:right="562" w:hanging="329"/>
        <w:jc w:val="both"/>
        <w:rPr>
          <w:sz w:val="20"/>
        </w:rPr>
      </w:pPr>
      <w:r>
        <w:rPr>
          <w:color w:val="231F20"/>
          <w:sz w:val="20"/>
        </w:rPr>
        <w:t>.L’importance de l’identification des degrés de brûlures se trouve dans le fait qu’il faut éviter des contractures et que les brûlures de troisième degré guérissent beaucoup plus vite avec une simple greffe de</w:t>
      </w:r>
      <w:r>
        <w:rPr>
          <w:color w:val="231F20"/>
          <w:spacing w:val="2"/>
          <w:sz w:val="20"/>
        </w:rPr>
        <w:t> </w:t>
      </w:r>
      <w:r>
        <w:rPr>
          <w:color w:val="231F20"/>
          <w:sz w:val="20"/>
        </w:rPr>
        <w:t>peau.</w:t>
      </w:r>
    </w:p>
    <w:p>
      <w:pPr>
        <w:pStyle w:val="ListParagraph"/>
        <w:numPr>
          <w:ilvl w:val="0"/>
          <w:numId w:val="1"/>
        </w:numPr>
        <w:tabs>
          <w:tab w:pos="733" w:val="left" w:leader="none"/>
        </w:tabs>
        <w:spacing w:line="240" w:lineRule="auto" w:before="54" w:after="0"/>
        <w:ind w:left="732" w:right="558" w:hanging="329"/>
        <w:jc w:val="left"/>
        <w:rPr>
          <w:sz w:val="20"/>
        </w:rPr>
      </w:pPr>
      <w:r>
        <w:rPr>
          <w:color w:val="231F20"/>
          <w:sz w:val="20"/>
        </w:rPr>
        <w:t>Souvent il est difficile de juger avec certitude si une brûlure est de deuxième degré ou troisième</w:t>
      </w:r>
      <w:r>
        <w:rPr>
          <w:color w:val="231F20"/>
          <w:spacing w:val="-3"/>
          <w:sz w:val="20"/>
        </w:rPr>
        <w:t> </w:t>
      </w:r>
      <w:r>
        <w:rPr>
          <w:color w:val="231F20"/>
          <w:sz w:val="20"/>
        </w:rPr>
        <w:t>degré.</w:t>
      </w:r>
    </w:p>
    <w:p>
      <w:pPr>
        <w:pStyle w:val="ListParagraph"/>
        <w:numPr>
          <w:ilvl w:val="0"/>
          <w:numId w:val="1"/>
        </w:numPr>
        <w:tabs>
          <w:tab w:pos="733" w:val="left" w:leader="none"/>
        </w:tabs>
        <w:spacing w:line="240" w:lineRule="auto" w:before="56" w:after="0"/>
        <w:ind w:left="732" w:right="0" w:hanging="330"/>
        <w:jc w:val="left"/>
        <w:rPr>
          <w:sz w:val="20"/>
        </w:rPr>
      </w:pPr>
      <w:r>
        <w:rPr>
          <w:color w:val="231F20"/>
          <w:sz w:val="20"/>
        </w:rPr>
        <w:t>Souvent les brûlures se présentent avec des degrés</w:t>
      </w:r>
      <w:r>
        <w:rPr>
          <w:color w:val="231F20"/>
          <w:spacing w:val="-4"/>
          <w:sz w:val="20"/>
        </w:rPr>
        <w:t> </w:t>
      </w:r>
      <w:r>
        <w:rPr>
          <w:color w:val="231F20"/>
          <w:sz w:val="20"/>
        </w:rPr>
        <w:t>mixtes.</w:t>
      </w:r>
    </w:p>
    <w:p>
      <w:pPr>
        <w:pStyle w:val="ListParagraph"/>
        <w:numPr>
          <w:ilvl w:val="0"/>
          <w:numId w:val="1"/>
        </w:numPr>
        <w:tabs>
          <w:tab w:pos="733" w:val="left" w:leader="none"/>
        </w:tabs>
        <w:spacing w:line="240" w:lineRule="auto" w:before="57" w:after="0"/>
        <w:ind w:left="732" w:right="0" w:hanging="330"/>
        <w:jc w:val="left"/>
        <w:rPr>
          <w:sz w:val="20"/>
        </w:rPr>
      </w:pPr>
      <w:r>
        <w:rPr>
          <w:color w:val="231F20"/>
          <w:sz w:val="20"/>
        </w:rPr>
        <w:t>Après quelques jours, la situation devient souvent plus claire.</w:t>
      </w:r>
    </w:p>
    <w:p>
      <w:pPr>
        <w:pStyle w:val="BodyText"/>
        <w:spacing w:before="55"/>
        <w:ind w:left="732"/>
      </w:pPr>
      <w:r>
        <w:rPr>
          <w:color w:val="231F20"/>
        </w:rPr>
        <w:t>Les surfaces de deuxième degré régénèrent la peau dans la surface même.</w:t>
      </w:r>
    </w:p>
    <w:p>
      <w:pPr>
        <w:pStyle w:val="BodyText"/>
        <w:spacing w:before="57"/>
        <w:ind w:left="732" w:right="445"/>
      </w:pPr>
      <w:r>
        <w:rPr>
          <w:color w:val="231F20"/>
        </w:rPr>
        <w:t>En cas de brûlure de troisième degré, la peau doit nécessairement se régénérer à partir des bords de la plaie. Dans la majorité des cas, de vilaines cicatrices se forment.</w:t>
      </w:r>
    </w:p>
    <w:p>
      <w:pPr>
        <w:pStyle w:val="BodyText"/>
        <w:spacing w:before="8"/>
        <w:rPr>
          <w:sz w:val="28"/>
        </w:rPr>
      </w:pPr>
    </w:p>
    <w:p>
      <w:pPr>
        <w:pStyle w:val="Heading1"/>
        <w:jc w:val="both"/>
      </w:pPr>
      <w:r>
        <w:rPr>
          <w:color w:val="231F20"/>
          <w:u w:val="thick" w:color="231F20"/>
        </w:rPr>
        <w:t>2. Prise en charge</w:t>
      </w:r>
    </w:p>
    <w:p>
      <w:pPr>
        <w:pStyle w:val="BodyText"/>
        <w:spacing w:before="7"/>
        <w:rPr>
          <w:b/>
          <w:sz w:val="28"/>
        </w:rPr>
      </w:pPr>
    </w:p>
    <w:p>
      <w:pPr>
        <w:pStyle w:val="BodyText"/>
        <w:spacing w:before="68"/>
        <w:ind w:left="403"/>
      </w:pPr>
      <w:r>
        <w:rPr>
          <w:color w:val="231F20"/>
        </w:rPr>
        <w:t>Utilisez le calcul de surface de Wallace pour estimer la surface affectée</w:t>
      </w:r>
    </w:p>
    <w:p>
      <w:pPr>
        <w:pStyle w:val="BodyText"/>
      </w:pPr>
    </w:p>
    <w:p>
      <w:pPr>
        <w:pStyle w:val="BodyText"/>
        <w:spacing w:before="7"/>
        <w:rPr>
          <w:sz w:val="14"/>
        </w:rPr>
      </w:pPr>
      <w:r>
        <w:rPr/>
        <w:drawing>
          <wp:anchor distT="0" distB="0" distL="0" distR="0" allowOverlap="1" layoutInCell="1" locked="0" behindDoc="0" simplePos="0" relativeHeight="1">
            <wp:simplePos x="0" y="0"/>
            <wp:positionH relativeFrom="page">
              <wp:posOffset>1509621</wp:posOffset>
            </wp:positionH>
            <wp:positionV relativeFrom="paragraph">
              <wp:posOffset>131618</wp:posOffset>
            </wp:positionV>
            <wp:extent cx="5016089" cy="319468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016089" cy="3194685"/>
                    </a:xfrm>
                    <a:prstGeom prst="rect">
                      <a:avLst/>
                    </a:prstGeom>
                  </pic:spPr>
                </pic:pic>
              </a:graphicData>
            </a:graphic>
          </wp:anchor>
        </w:drawing>
      </w:r>
    </w:p>
    <w:p>
      <w:pPr>
        <w:pStyle w:val="BodyText"/>
        <w:spacing w:before="9"/>
        <w:rPr>
          <w:sz w:val="10"/>
        </w:rPr>
      </w:pPr>
    </w:p>
    <w:p>
      <w:pPr>
        <w:tabs>
          <w:tab w:pos="6031" w:val="left" w:leader="none"/>
        </w:tabs>
        <w:spacing w:before="63"/>
        <w:ind w:left="1796" w:right="0" w:firstLine="0"/>
        <w:jc w:val="left"/>
        <w:rPr>
          <w:sz w:val="22"/>
        </w:rPr>
      </w:pPr>
      <w:r>
        <w:rPr>
          <w:color w:val="231F20"/>
          <w:sz w:val="22"/>
        </w:rPr>
        <w:t>ADULTE</w:t>
        <w:tab/>
        <w:t>ENFANT</w:t>
      </w:r>
    </w:p>
    <w:p>
      <w:pPr>
        <w:spacing w:after="0"/>
        <w:jc w:val="left"/>
        <w:rPr>
          <w:sz w:val="22"/>
        </w:rPr>
        <w:sectPr>
          <w:footerReference w:type="default" r:id="rId5"/>
          <w:type w:val="continuous"/>
          <w:pgSz w:w="11900" w:h="16840"/>
          <w:pgMar w:footer="1738" w:top="1600" w:bottom="1920" w:left="1680" w:right="980"/>
          <w:pgNumType w:start="59"/>
        </w:sectPr>
      </w:pPr>
    </w:p>
    <w:p>
      <w:pPr>
        <w:spacing w:before="126"/>
        <w:ind w:left="949" w:right="0" w:firstLine="0"/>
        <w:jc w:val="left"/>
        <w:rPr>
          <w:b/>
          <w:sz w:val="22"/>
        </w:rPr>
      </w:pPr>
      <w:r>
        <w:rPr/>
        <w:pict>
          <v:shape style="position:absolute;margin-left:439.570038pt;margin-top:581.627197pt;width:10.2pt;height:10.1pt;mso-position-horizontal-relative:page;mso-position-vertical-relative:page;z-index:-251802624" type="#_x0000_t202" filled="false" stroked="false">
            <v:textbox inset="0,0,0,0">
              <w:txbxContent>
                <w:p>
                  <w:pPr>
                    <w:pStyle w:val="BodyText"/>
                    <w:spacing w:line="191" w:lineRule="exact" w:before="11"/>
                    <w:rPr>
                      <w:rFonts w:ascii="Times New Roman"/>
                    </w:rPr>
                  </w:pPr>
                  <w:r>
                    <w:rPr>
                      <w:rFonts w:ascii="Times New Roman"/>
                      <w:color w:val="231F20"/>
                    </w:rPr>
                    <w:t>60</w:t>
                  </w:r>
                </w:p>
              </w:txbxContent>
            </v:textbox>
            <w10:wrap type="none"/>
          </v:shape>
        </w:pict>
      </w:r>
      <w:r>
        <w:rPr/>
        <w:pict>
          <v:rect style="position:absolute;margin-left:438.98642pt;margin-top:577.28241pt;width:54.363242pt;height:57.979202pt;mso-position-horizontal-relative:page;mso-position-vertical-relative:page;z-index:-251801600" filled="true" fillcolor="#ffffff" stroked="false">
            <v:fill type="solid"/>
            <w10:wrap type="none"/>
          </v:rect>
        </w:pict>
      </w:r>
      <w:r>
        <w:rPr>
          <w:b/>
          <w:color w:val="231F20"/>
          <w:sz w:val="22"/>
        </w:rPr>
        <w:t>La Prise en charge (PEC) des brûlures selon sévérité et complication</w:t>
      </w:r>
    </w:p>
    <w:p>
      <w:pPr>
        <w:pStyle w:val="BodyText"/>
        <w:spacing w:before="3" w:after="1"/>
        <w:rPr>
          <w:b/>
          <w:sz w:val="19"/>
        </w:rPr>
      </w:pPr>
    </w:p>
    <w:tbl>
      <w:tblPr>
        <w:tblW w:w="0" w:type="auto"/>
        <w:jc w:val="left"/>
        <w:tblInd w:w="609"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3585"/>
        <w:gridCol w:w="4935"/>
      </w:tblGrid>
      <w:tr>
        <w:trPr>
          <w:trHeight w:val="680" w:hRule="atLeast"/>
        </w:trPr>
        <w:tc>
          <w:tcPr>
            <w:tcW w:w="3585" w:type="dxa"/>
          </w:tcPr>
          <w:p>
            <w:pPr>
              <w:pStyle w:val="TableParagraph"/>
              <w:spacing w:line="229" w:lineRule="exact"/>
              <w:ind w:left="64"/>
              <w:rPr>
                <w:b/>
                <w:sz w:val="20"/>
              </w:rPr>
            </w:pPr>
            <w:r>
              <w:rPr>
                <w:b/>
                <w:color w:val="231F20"/>
                <w:sz w:val="20"/>
              </w:rPr>
              <w:t>Brûlures très fraîches</w:t>
            </w:r>
          </w:p>
          <w:p>
            <w:pPr>
              <w:pStyle w:val="TableParagraph"/>
              <w:spacing w:line="206" w:lineRule="exact" w:before="0"/>
              <w:ind w:left="64"/>
              <w:rPr>
                <w:sz w:val="18"/>
              </w:rPr>
            </w:pPr>
            <w:r>
              <w:rPr>
                <w:color w:val="231F20"/>
                <w:sz w:val="18"/>
              </w:rPr>
              <w:t>(Quelque soit la surface affectée)</w:t>
            </w:r>
          </w:p>
        </w:tc>
        <w:tc>
          <w:tcPr>
            <w:tcW w:w="4935" w:type="dxa"/>
          </w:tcPr>
          <w:p>
            <w:pPr>
              <w:pStyle w:val="TableParagraph"/>
              <w:ind w:left="65" w:right="221"/>
              <w:rPr>
                <w:sz w:val="20"/>
              </w:rPr>
            </w:pPr>
            <w:r>
              <w:rPr>
                <w:b/>
                <w:color w:val="231F20"/>
                <w:sz w:val="20"/>
              </w:rPr>
              <w:t>Rincer immédiatement avec de l’eau fraîche propre </w:t>
            </w:r>
            <w:r>
              <w:rPr>
                <w:color w:val="231F20"/>
                <w:sz w:val="20"/>
              </w:rPr>
              <w:t>(jusqu’à ce que la douleur diminue)</w:t>
            </w:r>
          </w:p>
        </w:tc>
      </w:tr>
      <w:tr>
        <w:trPr>
          <w:trHeight w:val="394" w:hRule="atLeast"/>
        </w:trPr>
        <w:tc>
          <w:tcPr>
            <w:tcW w:w="3585" w:type="dxa"/>
            <w:tcBorders>
              <w:bottom w:val="nil"/>
            </w:tcBorders>
          </w:tcPr>
          <w:p>
            <w:pPr>
              <w:pStyle w:val="TableParagraph"/>
              <w:ind w:left="34"/>
              <w:rPr>
                <w:b/>
                <w:sz w:val="20"/>
              </w:rPr>
            </w:pPr>
            <w:r>
              <w:rPr>
                <w:b/>
                <w:color w:val="231F20"/>
                <w:sz w:val="20"/>
              </w:rPr>
              <w:t>Brûlure GRAVE</w:t>
            </w:r>
          </w:p>
        </w:tc>
        <w:tc>
          <w:tcPr>
            <w:tcW w:w="4935" w:type="dxa"/>
            <w:tcBorders>
              <w:bottom w:val="nil"/>
            </w:tcBorders>
          </w:tcPr>
          <w:p>
            <w:pPr>
              <w:pStyle w:val="TableParagraph"/>
              <w:ind w:left="65"/>
              <w:rPr>
                <w:sz w:val="20"/>
              </w:rPr>
            </w:pPr>
            <w:r>
              <w:rPr>
                <w:color w:val="231F20"/>
                <w:sz w:val="20"/>
              </w:rPr>
              <w:t>Vitamine A 1 dose</w:t>
            </w:r>
          </w:p>
        </w:tc>
      </w:tr>
      <w:tr>
        <w:trPr>
          <w:trHeight w:val="633" w:hRule="atLeast"/>
        </w:trPr>
        <w:tc>
          <w:tcPr>
            <w:tcW w:w="3585" w:type="dxa"/>
            <w:tcBorders>
              <w:top w:val="nil"/>
              <w:bottom w:val="nil"/>
            </w:tcBorders>
          </w:tcPr>
          <w:p>
            <w:pPr>
              <w:pStyle w:val="TableParagraph"/>
              <w:spacing w:before="54"/>
              <w:ind w:left="92"/>
              <w:rPr>
                <w:b/>
                <w:sz w:val="20"/>
              </w:rPr>
            </w:pPr>
            <w:r>
              <w:rPr>
                <w:color w:val="231F20"/>
                <w:sz w:val="20"/>
                <w:u w:val="single" w:color="231F20"/>
              </w:rPr>
              <w:t>Enfant</w:t>
            </w:r>
            <w:r>
              <w:rPr>
                <w:color w:val="231F20"/>
                <w:sz w:val="20"/>
              </w:rPr>
              <w:t> 0 à 3 ans : </w:t>
            </w:r>
            <w:r>
              <w:rPr>
                <w:b/>
                <w:color w:val="231F20"/>
                <w:sz w:val="20"/>
              </w:rPr>
              <w:t>&gt; 7 %</w:t>
            </w:r>
          </w:p>
          <w:p>
            <w:pPr>
              <w:pStyle w:val="TableParagraph"/>
              <w:spacing w:line="219" w:lineRule="exact" w:before="111"/>
              <w:ind w:left="64"/>
              <w:rPr>
                <w:b/>
                <w:sz w:val="20"/>
              </w:rPr>
            </w:pPr>
            <w:r>
              <w:rPr>
                <w:color w:val="231F20"/>
                <w:sz w:val="20"/>
                <w:u w:val="single" w:color="231F20"/>
              </w:rPr>
              <w:t>Enfant</w:t>
            </w:r>
            <w:r>
              <w:rPr>
                <w:color w:val="231F20"/>
                <w:sz w:val="20"/>
              </w:rPr>
              <w:t> 4 à 10 ans : </w:t>
            </w:r>
            <w:r>
              <w:rPr>
                <w:b/>
                <w:color w:val="231F20"/>
                <w:sz w:val="20"/>
              </w:rPr>
              <w:t>&gt; 10 %</w:t>
            </w:r>
          </w:p>
        </w:tc>
        <w:tc>
          <w:tcPr>
            <w:tcW w:w="4935" w:type="dxa"/>
            <w:tcBorders>
              <w:top w:val="nil"/>
              <w:bottom w:val="nil"/>
            </w:tcBorders>
          </w:tcPr>
          <w:p>
            <w:pPr>
              <w:pStyle w:val="TableParagraph"/>
              <w:spacing w:before="175"/>
              <w:ind w:left="65"/>
              <w:rPr>
                <w:b/>
                <w:sz w:val="20"/>
              </w:rPr>
            </w:pPr>
            <w:r>
              <w:rPr>
                <w:b/>
                <w:color w:val="231F20"/>
                <w:sz w:val="20"/>
              </w:rPr>
              <w:t>RÉFÉRER urgent</w:t>
            </w:r>
          </w:p>
        </w:tc>
      </w:tr>
      <w:tr>
        <w:trPr>
          <w:trHeight w:val="406" w:hRule="atLeast"/>
        </w:trPr>
        <w:tc>
          <w:tcPr>
            <w:tcW w:w="3585" w:type="dxa"/>
            <w:tcBorders>
              <w:top w:val="nil"/>
              <w:bottom w:val="nil"/>
            </w:tcBorders>
          </w:tcPr>
          <w:p>
            <w:pPr>
              <w:pStyle w:val="TableParagraph"/>
              <w:tabs>
                <w:tab w:pos="1809" w:val="left" w:leader="none"/>
              </w:tabs>
              <w:spacing w:before="102"/>
              <w:ind w:left="64"/>
              <w:rPr>
                <w:b/>
                <w:sz w:val="20"/>
              </w:rPr>
            </w:pPr>
            <w:r>
              <w:rPr>
                <w:color w:val="231F20"/>
                <w:sz w:val="20"/>
                <w:u w:val="single" w:color="231F20"/>
              </w:rPr>
              <w:t>Adulte</w:t>
            </w:r>
            <w:r>
              <w:rPr>
                <w:color w:val="231F20"/>
                <w:sz w:val="20"/>
              </w:rPr>
              <w:tab/>
            </w:r>
            <w:r>
              <w:rPr>
                <w:b/>
                <w:color w:val="231F20"/>
                <w:sz w:val="20"/>
              </w:rPr>
              <w:t>&gt; 15</w:t>
            </w:r>
            <w:r>
              <w:rPr>
                <w:b/>
                <w:color w:val="231F20"/>
                <w:spacing w:val="-4"/>
                <w:sz w:val="20"/>
              </w:rPr>
              <w:t> </w:t>
            </w:r>
            <w:r>
              <w:rPr>
                <w:b/>
                <w:color w:val="231F20"/>
                <w:sz w:val="20"/>
              </w:rPr>
              <w:t>%</w:t>
            </w:r>
          </w:p>
        </w:tc>
        <w:tc>
          <w:tcPr>
            <w:tcW w:w="4935" w:type="dxa"/>
            <w:tcBorders>
              <w:top w:val="nil"/>
              <w:bottom w:val="nil"/>
            </w:tcBorders>
          </w:tcPr>
          <w:p>
            <w:pPr>
              <w:pStyle w:val="TableParagraph"/>
              <w:spacing w:before="6"/>
              <w:ind w:left="65"/>
              <w:rPr>
                <w:b/>
                <w:sz w:val="20"/>
              </w:rPr>
            </w:pPr>
            <w:r>
              <w:rPr>
                <w:b/>
                <w:color w:val="231F20"/>
                <w:sz w:val="20"/>
              </w:rPr>
              <w:t>Voir FT choc hypovolémique</w:t>
            </w:r>
          </w:p>
        </w:tc>
      </w:tr>
      <w:tr>
        <w:trPr>
          <w:trHeight w:val="1479" w:hRule="atLeast"/>
        </w:trPr>
        <w:tc>
          <w:tcPr>
            <w:tcW w:w="3585" w:type="dxa"/>
            <w:tcBorders>
              <w:top w:val="nil"/>
              <w:bottom w:val="nil"/>
            </w:tcBorders>
          </w:tcPr>
          <w:p>
            <w:pPr>
              <w:pStyle w:val="TableParagraph"/>
              <w:spacing w:before="39"/>
              <w:ind w:left="64" w:right="151" w:hanging="1"/>
              <w:jc w:val="both"/>
              <w:rPr>
                <w:b/>
                <w:sz w:val="20"/>
              </w:rPr>
            </w:pPr>
            <w:r>
              <w:rPr>
                <w:color w:val="231F20"/>
                <w:sz w:val="20"/>
                <w:u w:val="single" w:color="231F20"/>
              </w:rPr>
              <w:t>Enfant</w:t>
            </w:r>
            <w:r>
              <w:rPr>
                <w:color w:val="231F20"/>
                <w:sz w:val="20"/>
              </w:rPr>
              <w:t> avec des brûlures du troisième degré, même </w:t>
            </w:r>
            <w:r>
              <w:rPr>
                <w:b/>
                <w:color w:val="231F20"/>
                <w:sz w:val="20"/>
              </w:rPr>
              <w:t>restreintes, mais </w:t>
            </w:r>
            <w:r>
              <w:rPr>
                <w:color w:val="231F20"/>
                <w:sz w:val="20"/>
              </w:rPr>
              <w:t>au </w:t>
            </w:r>
            <w:r>
              <w:rPr>
                <w:b/>
                <w:color w:val="231F20"/>
                <w:sz w:val="20"/>
              </w:rPr>
              <w:t>niveau des mains, poignets, coude, nuque, cou, visage, genou, organes génitaux, aisselles</w:t>
            </w:r>
          </w:p>
        </w:tc>
        <w:tc>
          <w:tcPr>
            <w:tcW w:w="4935" w:type="dxa"/>
            <w:tcBorders>
              <w:top w:val="nil"/>
              <w:bottom w:val="nil"/>
            </w:tcBorders>
          </w:tcPr>
          <w:p>
            <w:pPr>
              <w:pStyle w:val="TableParagraph"/>
              <w:spacing w:before="0"/>
              <w:ind w:left="0"/>
              <w:rPr>
                <w:rFonts w:ascii="Times New Roman"/>
                <w:sz w:val="20"/>
              </w:rPr>
            </w:pPr>
          </w:p>
        </w:tc>
      </w:tr>
      <w:tr>
        <w:trPr>
          <w:trHeight w:val="856" w:hRule="atLeast"/>
        </w:trPr>
        <w:tc>
          <w:tcPr>
            <w:tcW w:w="3585" w:type="dxa"/>
            <w:tcBorders>
              <w:top w:val="nil"/>
            </w:tcBorders>
          </w:tcPr>
          <w:p>
            <w:pPr>
              <w:pStyle w:val="TableParagraph"/>
              <w:spacing w:before="55"/>
              <w:ind w:left="64" w:right="149"/>
              <w:jc w:val="both"/>
              <w:rPr>
                <w:sz w:val="20"/>
              </w:rPr>
            </w:pPr>
            <w:r>
              <w:rPr>
                <w:color w:val="231F20"/>
                <w:sz w:val="20"/>
                <w:u w:val="single" w:color="231F20"/>
              </w:rPr>
              <w:t>Enfant</w:t>
            </w:r>
            <w:r>
              <w:rPr>
                <w:color w:val="231F20"/>
                <w:sz w:val="20"/>
              </w:rPr>
              <w:t> avec les brûlures </w:t>
            </w:r>
            <w:r>
              <w:rPr>
                <w:b/>
                <w:color w:val="231F20"/>
                <w:sz w:val="20"/>
              </w:rPr>
              <w:t>restreintes, mais de troisième degré, avec granulation rouge </w:t>
            </w:r>
            <w:r>
              <w:rPr>
                <w:color w:val="231F20"/>
                <w:sz w:val="20"/>
              </w:rPr>
              <w:t>des tissus</w:t>
            </w:r>
          </w:p>
        </w:tc>
        <w:tc>
          <w:tcPr>
            <w:tcW w:w="4935" w:type="dxa"/>
            <w:tcBorders>
              <w:top w:val="nil"/>
            </w:tcBorders>
          </w:tcPr>
          <w:p>
            <w:pPr>
              <w:pStyle w:val="TableParagraph"/>
              <w:spacing w:before="0"/>
              <w:ind w:left="0"/>
              <w:rPr>
                <w:rFonts w:ascii="Times New Roman"/>
                <w:sz w:val="20"/>
              </w:rPr>
            </w:pPr>
          </w:p>
        </w:tc>
      </w:tr>
      <w:tr>
        <w:trPr>
          <w:trHeight w:val="6260" w:hRule="atLeast"/>
        </w:trPr>
        <w:tc>
          <w:tcPr>
            <w:tcW w:w="3585" w:type="dxa"/>
          </w:tcPr>
          <w:p>
            <w:pPr>
              <w:pStyle w:val="TableParagraph"/>
              <w:spacing w:before="107"/>
              <w:ind w:left="64"/>
              <w:rPr>
                <w:b/>
                <w:sz w:val="20"/>
              </w:rPr>
            </w:pPr>
            <w:r>
              <w:rPr>
                <w:b/>
                <w:color w:val="231F20"/>
                <w:sz w:val="20"/>
              </w:rPr>
              <w:t>Brûlure MODÉRÉ ou LÉGÈRE</w:t>
            </w:r>
          </w:p>
          <w:p>
            <w:pPr>
              <w:pStyle w:val="TableParagraph"/>
              <w:spacing w:before="113"/>
              <w:ind w:left="64" w:right="101"/>
              <w:rPr>
                <w:sz w:val="20"/>
              </w:rPr>
            </w:pPr>
            <w:r>
              <w:rPr>
                <w:color w:val="231F20"/>
                <w:sz w:val="20"/>
                <w:u w:val="single" w:color="231F20"/>
              </w:rPr>
              <w:t>Enfant</w:t>
            </w:r>
            <w:r>
              <w:rPr>
                <w:color w:val="231F20"/>
                <w:sz w:val="20"/>
              </w:rPr>
              <w:t> avec des brûlures restreintes du troisième degré</w:t>
            </w:r>
          </w:p>
          <w:p>
            <w:pPr>
              <w:pStyle w:val="TableParagraph"/>
              <w:spacing w:before="111"/>
              <w:ind w:left="64" w:right="101"/>
              <w:rPr>
                <w:sz w:val="20"/>
              </w:rPr>
            </w:pPr>
            <w:r>
              <w:rPr>
                <w:color w:val="231F20"/>
                <w:sz w:val="20"/>
                <w:u w:val="single" w:color="231F20"/>
              </w:rPr>
              <w:t>Enfants et adultes</w:t>
            </w:r>
            <w:r>
              <w:rPr>
                <w:color w:val="231F20"/>
                <w:sz w:val="20"/>
              </w:rPr>
              <w:t> avec des brûlures du deuxième degré</w:t>
            </w:r>
          </w:p>
        </w:tc>
        <w:tc>
          <w:tcPr>
            <w:tcW w:w="4935" w:type="dxa"/>
          </w:tcPr>
          <w:p>
            <w:pPr>
              <w:pStyle w:val="TableParagraph"/>
              <w:numPr>
                <w:ilvl w:val="0"/>
                <w:numId w:val="2"/>
              </w:numPr>
              <w:tabs>
                <w:tab w:pos="328" w:val="left" w:leader="none"/>
              </w:tabs>
              <w:spacing w:line="240" w:lineRule="auto" w:before="107" w:after="0"/>
              <w:ind w:left="327" w:right="75" w:hanging="262"/>
              <w:jc w:val="left"/>
              <w:rPr>
                <w:sz w:val="20"/>
              </w:rPr>
            </w:pPr>
            <w:r>
              <w:rPr>
                <w:color w:val="231F20"/>
                <w:sz w:val="20"/>
              </w:rPr>
              <w:t>aspirer les phlyctènes, exciser avec douceur la peau morte (</w:t>
            </w:r>
            <w:r>
              <w:rPr>
                <w:b/>
                <w:color w:val="231F20"/>
                <w:sz w:val="20"/>
              </w:rPr>
              <w:t>ne pas </w:t>
            </w:r>
            <w:r>
              <w:rPr>
                <w:color w:val="231F20"/>
                <w:sz w:val="20"/>
              </w:rPr>
              <w:t>essayer de tout enlever dès la première</w:t>
            </w:r>
            <w:r>
              <w:rPr>
                <w:color w:val="231F20"/>
                <w:spacing w:val="-5"/>
                <w:sz w:val="20"/>
              </w:rPr>
              <w:t> </w:t>
            </w:r>
            <w:r>
              <w:rPr>
                <w:color w:val="231F20"/>
                <w:sz w:val="20"/>
              </w:rPr>
              <w:t>fois)</w:t>
            </w:r>
          </w:p>
          <w:p>
            <w:pPr>
              <w:pStyle w:val="TableParagraph"/>
              <w:numPr>
                <w:ilvl w:val="0"/>
                <w:numId w:val="2"/>
              </w:numPr>
              <w:tabs>
                <w:tab w:pos="328" w:val="left" w:leader="none"/>
              </w:tabs>
              <w:spacing w:line="240" w:lineRule="auto" w:before="58" w:after="0"/>
              <w:ind w:left="327" w:right="96" w:hanging="262"/>
              <w:jc w:val="left"/>
              <w:rPr>
                <w:sz w:val="20"/>
              </w:rPr>
            </w:pPr>
            <w:r>
              <w:rPr>
                <w:color w:val="231F20"/>
                <w:sz w:val="20"/>
              </w:rPr>
              <w:t>rincer avec de l’eau propre, enlever tous les objets étrangers (médicament</w:t>
            </w:r>
            <w:r>
              <w:rPr>
                <w:color w:val="231F20"/>
                <w:spacing w:val="-1"/>
                <w:sz w:val="20"/>
              </w:rPr>
              <w:t> </w:t>
            </w:r>
            <w:r>
              <w:rPr>
                <w:color w:val="231F20"/>
                <w:sz w:val="20"/>
              </w:rPr>
              <w:t>traditionnel)</w:t>
            </w:r>
          </w:p>
          <w:p>
            <w:pPr>
              <w:pStyle w:val="TableParagraph"/>
              <w:numPr>
                <w:ilvl w:val="0"/>
                <w:numId w:val="2"/>
              </w:numPr>
              <w:tabs>
                <w:tab w:pos="328" w:val="left" w:leader="none"/>
              </w:tabs>
              <w:spacing w:line="244" w:lineRule="exact" w:before="57" w:after="0"/>
              <w:ind w:left="327" w:right="0" w:hanging="263"/>
              <w:jc w:val="left"/>
              <w:rPr>
                <w:sz w:val="20"/>
              </w:rPr>
            </w:pPr>
            <w:r>
              <w:rPr>
                <w:color w:val="231F20"/>
                <w:sz w:val="20"/>
              </w:rPr>
              <w:t>nettoyage Polyvidone iodée 10% ¼ diluée avec</w:t>
            </w:r>
            <w:r>
              <w:rPr>
                <w:color w:val="231F20"/>
                <w:spacing w:val="11"/>
                <w:sz w:val="20"/>
              </w:rPr>
              <w:t> </w:t>
            </w:r>
            <w:r>
              <w:rPr>
                <w:color w:val="231F20"/>
                <w:sz w:val="20"/>
                <w:vertAlign w:val="superscript"/>
              </w:rPr>
              <w:t>3</w:t>
            </w:r>
            <w:r>
              <w:rPr>
                <w:color w:val="231F20"/>
                <w:sz w:val="20"/>
                <w:vertAlign w:val="baseline"/>
              </w:rPr>
              <w:t>/</w:t>
            </w:r>
            <w:r>
              <w:rPr>
                <w:color w:val="231F20"/>
                <w:sz w:val="20"/>
                <w:vertAlign w:val="subscript"/>
              </w:rPr>
              <w:t>4</w:t>
            </w:r>
          </w:p>
          <w:p>
            <w:pPr>
              <w:pStyle w:val="TableParagraph"/>
              <w:spacing w:line="229" w:lineRule="exact" w:before="0"/>
              <w:rPr>
                <w:sz w:val="20"/>
              </w:rPr>
            </w:pPr>
            <w:r>
              <w:rPr>
                <w:color w:val="231F20"/>
                <w:sz w:val="20"/>
              </w:rPr>
              <w:t>chlorure de sodium 0,9 % (jamais l’alcool)</w:t>
            </w:r>
          </w:p>
          <w:p>
            <w:pPr>
              <w:pStyle w:val="TableParagraph"/>
              <w:numPr>
                <w:ilvl w:val="0"/>
                <w:numId w:val="2"/>
              </w:numPr>
              <w:tabs>
                <w:tab w:pos="328" w:val="left" w:leader="none"/>
              </w:tabs>
              <w:spacing w:line="240" w:lineRule="auto" w:before="58" w:after="0"/>
              <w:ind w:left="327" w:right="0" w:hanging="263"/>
              <w:jc w:val="left"/>
              <w:rPr>
                <w:sz w:val="20"/>
              </w:rPr>
            </w:pPr>
            <w:r>
              <w:rPr>
                <w:color w:val="231F20"/>
                <w:sz w:val="20"/>
              </w:rPr>
              <w:t>vitamine A + VAT (vérifier état vaccinal</w:t>
            </w:r>
            <w:r>
              <w:rPr>
                <w:color w:val="231F20"/>
                <w:spacing w:val="-1"/>
                <w:sz w:val="20"/>
              </w:rPr>
              <w:t> </w:t>
            </w:r>
            <w:r>
              <w:rPr>
                <w:color w:val="231F20"/>
                <w:sz w:val="20"/>
              </w:rPr>
              <w:t>d’abord)</w:t>
            </w:r>
          </w:p>
          <w:p>
            <w:pPr>
              <w:pStyle w:val="TableParagraph"/>
              <w:numPr>
                <w:ilvl w:val="0"/>
                <w:numId w:val="2"/>
              </w:numPr>
              <w:tabs>
                <w:tab w:pos="328" w:val="left" w:leader="none"/>
              </w:tabs>
              <w:spacing w:line="242" w:lineRule="auto" w:before="53" w:after="0"/>
              <w:ind w:left="327" w:right="318" w:hanging="262"/>
              <w:jc w:val="left"/>
              <w:rPr>
                <w:sz w:val="20"/>
              </w:rPr>
            </w:pPr>
            <w:r>
              <w:rPr>
                <w:color w:val="231F20"/>
                <w:sz w:val="20"/>
              </w:rPr>
              <w:t>bandage : appliquer largement de la pommade sulfadiazine argentique ; ensuite recouvrir d’une couche épaisse de compresses stériles et emballer le tout avec une bande de gaze non serrée.</w:t>
            </w:r>
          </w:p>
          <w:p>
            <w:pPr>
              <w:pStyle w:val="TableParagraph"/>
              <w:spacing w:before="0"/>
              <w:ind w:right="221"/>
              <w:rPr>
                <w:sz w:val="20"/>
              </w:rPr>
            </w:pPr>
            <w:r>
              <w:rPr>
                <w:color w:val="231F20"/>
                <w:sz w:val="20"/>
              </w:rPr>
              <w:t>Les pansements se refont tous les 2 jours, après administration de Paracétamol 500 mg 1x 2cps 60 min avant le pansement.</w:t>
            </w:r>
          </w:p>
          <w:p>
            <w:pPr>
              <w:pStyle w:val="TableParagraph"/>
              <w:numPr>
                <w:ilvl w:val="0"/>
                <w:numId w:val="2"/>
              </w:numPr>
              <w:tabs>
                <w:tab w:pos="328" w:val="left" w:leader="none"/>
              </w:tabs>
              <w:spacing w:line="240" w:lineRule="auto" w:before="52" w:after="0"/>
              <w:ind w:left="327" w:right="0" w:hanging="263"/>
              <w:jc w:val="left"/>
              <w:rPr>
                <w:sz w:val="20"/>
              </w:rPr>
            </w:pPr>
            <w:r>
              <w:rPr>
                <w:color w:val="231F20"/>
                <w:sz w:val="20"/>
              </w:rPr>
              <w:t>peser l’enfant et noter le</w:t>
            </w:r>
            <w:r>
              <w:rPr>
                <w:color w:val="231F20"/>
                <w:spacing w:val="6"/>
                <w:sz w:val="20"/>
              </w:rPr>
              <w:t> </w:t>
            </w:r>
            <w:r>
              <w:rPr>
                <w:color w:val="231F20"/>
                <w:sz w:val="20"/>
              </w:rPr>
              <w:t>poids</w:t>
            </w:r>
          </w:p>
          <w:p>
            <w:pPr>
              <w:pStyle w:val="TableParagraph"/>
              <w:numPr>
                <w:ilvl w:val="0"/>
                <w:numId w:val="2"/>
              </w:numPr>
              <w:tabs>
                <w:tab w:pos="328" w:val="left" w:leader="none"/>
              </w:tabs>
              <w:spacing w:line="240" w:lineRule="auto" w:before="53" w:after="0"/>
              <w:ind w:left="327" w:right="174" w:hanging="262"/>
              <w:jc w:val="left"/>
              <w:rPr>
                <w:sz w:val="20"/>
              </w:rPr>
            </w:pPr>
            <w:r>
              <w:rPr>
                <w:color w:val="231F20"/>
                <w:sz w:val="20"/>
              </w:rPr>
              <w:t>Information-Education-Communication (IEC) sur l’hygiène et la nécessité d’augmenter les calories diététiques (huile végétale, plusieurs petits</w:t>
            </w:r>
            <w:r>
              <w:rPr>
                <w:color w:val="231F20"/>
                <w:spacing w:val="2"/>
                <w:sz w:val="20"/>
              </w:rPr>
              <w:t> </w:t>
            </w:r>
            <w:r>
              <w:rPr>
                <w:color w:val="231F20"/>
                <w:sz w:val="20"/>
              </w:rPr>
              <w:t>repas)</w:t>
            </w:r>
          </w:p>
          <w:p>
            <w:pPr>
              <w:pStyle w:val="TableParagraph"/>
              <w:spacing w:before="4"/>
              <w:rPr>
                <w:sz w:val="20"/>
              </w:rPr>
            </w:pPr>
            <w:r>
              <w:rPr>
                <w:color w:val="231F20"/>
                <w:sz w:val="20"/>
              </w:rPr>
              <w:t>– </w:t>
            </w:r>
            <w:r>
              <w:rPr>
                <w:b/>
                <w:color w:val="231F20"/>
                <w:sz w:val="20"/>
              </w:rPr>
              <w:t>voir FT PCIME</w:t>
            </w:r>
            <w:r>
              <w:rPr>
                <w:color w:val="231F20"/>
                <w:sz w:val="20"/>
              </w:rPr>
              <w:t>.</w:t>
            </w:r>
          </w:p>
          <w:p>
            <w:pPr>
              <w:pStyle w:val="TableParagraph"/>
              <w:numPr>
                <w:ilvl w:val="0"/>
                <w:numId w:val="2"/>
              </w:numPr>
              <w:tabs>
                <w:tab w:pos="328" w:val="left" w:leader="none"/>
              </w:tabs>
              <w:spacing w:line="240" w:lineRule="auto" w:before="55" w:after="0"/>
              <w:ind w:left="327" w:right="371" w:hanging="262"/>
              <w:jc w:val="left"/>
              <w:rPr>
                <w:sz w:val="20"/>
              </w:rPr>
            </w:pPr>
            <w:r>
              <w:rPr>
                <w:color w:val="231F20"/>
                <w:sz w:val="20"/>
              </w:rPr>
              <w:t>revoir après 3 jours ou garder l’enfant 24h sous observation et le mettre sous moustiquaire imprégnée.</w:t>
            </w:r>
          </w:p>
        </w:tc>
      </w:tr>
      <w:tr>
        <w:trPr>
          <w:trHeight w:val="449" w:hRule="atLeast"/>
        </w:trPr>
        <w:tc>
          <w:tcPr>
            <w:tcW w:w="3585" w:type="dxa"/>
          </w:tcPr>
          <w:p>
            <w:pPr>
              <w:pStyle w:val="TableParagraph"/>
              <w:ind w:left="64"/>
              <w:rPr>
                <w:sz w:val="20"/>
              </w:rPr>
            </w:pPr>
            <w:r>
              <w:rPr>
                <w:color w:val="231F20"/>
                <w:sz w:val="20"/>
              </w:rPr>
              <w:t>En cas de </w:t>
            </w:r>
            <w:r>
              <w:rPr>
                <w:b/>
                <w:color w:val="231F20"/>
                <w:sz w:val="20"/>
              </w:rPr>
              <w:t>surinfection </w:t>
            </w:r>
            <w:r>
              <w:rPr>
                <w:color w:val="231F20"/>
                <w:sz w:val="20"/>
              </w:rPr>
              <w:t>(pus)</w:t>
            </w:r>
          </w:p>
        </w:tc>
        <w:tc>
          <w:tcPr>
            <w:tcW w:w="4935" w:type="dxa"/>
          </w:tcPr>
          <w:p>
            <w:pPr>
              <w:pStyle w:val="TableParagraph"/>
              <w:ind w:left="65"/>
              <w:rPr>
                <w:sz w:val="20"/>
              </w:rPr>
            </w:pPr>
            <w:r>
              <w:rPr>
                <w:color w:val="231F20"/>
                <w:sz w:val="20"/>
              </w:rPr>
              <w:t>Cloxacilline 500mg 2x 2 gél/j pour 10 à 15 jours</w:t>
            </w:r>
          </w:p>
        </w:tc>
      </w:tr>
    </w:tbl>
    <w:sectPr>
      <w:pgSz w:w="11900" w:h="16840"/>
      <w:pgMar w:header="0" w:footer="1738" w:top="1600" w:bottom="1920" w:left="16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03.345795pt;margin-top:744.10083pt;width:15.1pt;height:11.15pt;mso-position-horizontal-relative:page;mso-position-vertical-relative:page;z-index:-251805696" type="#_x0000_t202" filled="false" stroked="false">
          <v:textbox inset="0,0,0,0">
            <w:txbxContent>
              <w:p>
                <w:pPr>
                  <w:spacing w:line="192" w:lineRule="exact" w:before="30"/>
                  <w:ind w:left="60" w:right="0" w:firstLine="0"/>
                  <w:jc w:val="left"/>
                  <w:rPr>
                    <w:rFonts w:ascii="Times New Roman"/>
                    <w:sz w:val="18"/>
                  </w:rPr>
                </w:pPr>
                <w:r>
                  <w:rPr/>
                  <w:fldChar w:fldCharType="begin"/>
                </w:r>
                <w:r>
                  <w:rPr>
                    <w:rFonts w:ascii="Times New Roman"/>
                    <w:color w:val="231F20"/>
                    <w:sz w:val="18"/>
                  </w:rPr>
                  <w:instrText> PAGE </w:instrText>
                </w:r>
                <w:r>
                  <w:rPr/>
                  <w:fldChar w:fldCharType="separate"/>
                </w:r>
                <w:r>
                  <w:rPr/>
                  <w:t>59</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327" w:hanging="262"/>
      </w:pPr>
      <w:rPr>
        <w:rFonts w:hint="default" w:ascii="Symbol" w:hAnsi="Symbol" w:eastAsia="Symbol" w:cs="Symbol"/>
        <w:color w:val="231F20"/>
        <w:w w:val="100"/>
        <w:sz w:val="20"/>
        <w:szCs w:val="20"/>
      </w:rPr>
    </w:lvl>
    <w:lvl w:ilvl="1">
      <w:start w:val="0"/>
      <w:numFmt w:val="bullet"/>
      <w:lvlText w:val="•"/>
      <w:lvlJc w:val="left"/>
      <w:pPr>
        <w:ind w:left="500" w:hanging="262"/>
      </w:pPr>
      <w:rPr>
        <w:rFonts w:hint="default"/>
      </w:rPr>
    </w:lvl>
    <w:lvl w:ilvl="2">
      <w:start w:val="0"/>
      <w:numFmt w:val="bullet"/>
      <w:lvlText w:val="•"/>
      <w:lvlJc w:val="left"/>
      <w:pPr>
        <w:ind w:left="991" w:hanging="262"/>
      </w:pPr>
      <w:rPr>
        <w:rFonts w:hint="default"/>
      </w:rPr>
    </w:lvl>
    <w:lvl w:ilvl="3">
      <w:start w:val="0"/>
      <w:numFmt w:val="bullet"/>
      <w:lvlText w:val="•"/>
      <w:lvlJc w:val="left"/>
      <w:pPr>
        <w:ind w:left="1482" w:hanging="262"/>
      </w:pPr>
      <w:rPr>
        <w:rFonts w:hint="default"/>
      </w:rPr>
    </w:lvl>
    <w:lvl w:ilvl="4">
      <w:start w:val="0"/>
      <w:numFmt w:val="bullet"/>
      <w:lvlText w:val="•"/>
      <w:lvlJc w:val="left"/>
      <w:pPr>
        <w:ind w:left="1973" w:hanging="262"/>
      </w:pPr>
      <w:rPr>
        <w:rFonts w:hint="default"/>
      </w:rPr>
    </w:lvl>
    <w:lvl w:ilvl="5">
      <w:start w:val="0"/>
      <w:numFmt w:val="bullet"/>
      <w:lvlText w:val="•"/>
      <w:lvlJc w:val="left"/>
      <w:pPr>
        <w:ind w:left="2464" w:hanging="262"/>
      </w:pPr>
      <w:rPr>
        <w:rFonts w:hint="default"/>
      </w:rPr>
    </w:lvl>
    <w:lvl w:ilvl="6">
      <w:start w:val="0"/>
      <w:numFmt w:val="bullet"/>
      <w:lvlText w:val="•"/>
      <w:lvlJc w:val="left"/>
      <w:pPr>
        <w:ind w:left="2955" w:hanging="262"/>
      </w:pPr>
      <w:rPr>
        <w:rFonts w:hint="default"/>
      </w:rPr>
    </w:lvl>
    <w:lvl w:ilvl="7">
      <w:start w:val="0"/>
      <w:numFmt w:val="bullet"/>
      <w:lvlText w:val="•"/>
      <w:lvlJc w:val="left"/>
      <w:pPr>
        <w:ind w:left="3446" w:hanging="262"/>
      </w:pPr>
      <w:rPr>
        <w:rFonts w:hint="default"/>
      </w:rPr>
    </w:lvl>
    <w:lvl w:ilvl="8">
      <w:start w:val="0"/>
      <w:numFmt w:val="bullet"/>
      <w:lvlText w:val="•"/>
      <w:lvlJc w:val="left"/>
      <w:pPr>
        <w:ind w:left="3937" w:hanging="262"/>
      </w:pPr>
      <w:rPr>
        <w:rFonts w:hint="default"/>
      </w:rPr>
    </w:lvl>
  </w:abstractNum>
  <w:abstractNum w:abstractNumId="0">
    <w:multiLevelType w:val="hybridMultilevel"/>
    <w:lvl w:ilvl="0">
      <w:start w:val="1"/>
      <w:numFmt w:val="decimal"/>
      <w:lvlText w:val="%1."/>
      <w:lvlJc w:val="left"/>
      <w:pPr>
        <w:ind w:left="732" w:hanging="329"/>
        <w:jc w:val="left"/>
      </w:pPr>
      <w:rPr>
        <w:rFonts w:hint="default" w:ascii="Arial" w:hAnsi="Arial" w:eastAsia="Arial" w:cs="Arial"/>
        <w:color w:val="231F20"/>
        <w:spacing w:val="-1"/>
        <w:w w:val="101"/>
        <w:sz w:val="20"/>
        <w:szCs w:val="20"/>
      </w:rPr>
    </w:lvl>
    <w:lvl w:ilvl="1">
      <w:start w:val="0"/>
      <w:numFmt w:val="bullet"/>
      <w:lvlText w:val="•"/>
      <w:lvlJc w:val="left"/>
      <w:pPr>
        <w:ind w:left="1590" w:hanging="329"/>
      </w:pPr>
      <w:rPr>
        <w:rFonts w:hint="default"/>
      </w:rPr>
    </w:lvl>
    <w:lvl w:ilvl="2">
      <w:start w:val="0"/>
      <w:numFmt w:val="bullet"/>
      <w:lvlText w:val="•"/>
      <w:lvlJc w:val="left"/>
      <w:pPr>
        <w:ind w:left="2440" w:hanging="329"/>
      </w:pPr>
      <w:rPr>
        <w:rFonts w:hint="default"/>
      </w:rPr>
    </w:lvl>
    <w:lvl w:ilvl="3">
      <w:start w:val="0"/>
      <w:numFmt w:val="bullet"/>
      <w:lvlText w:val="•"/>
      <w:lvlJc w:val="left"/>
      <w:pPr>
        <w:ind w:left="3290" w:hanging="329"/>
      </w:pPr>
      <w:rPr>
        <w:rFonts w:hint="default"/>
      </w:rPr>
    </w:lvl>
    <w:lvl w:ilvl="4">
      <w:start w:val="0"/>
      <w:numFmt w:val="bullet"/>
      <w:lvlText w:val="•"/>
      <w:lvlJc w:val="left"/>
      <w:pPr>
        <w:ind w:left="4140" w:hanging="329"/>
      </w:pPr>
      <w:rPr>
        <w:rFonts w:hint="default"/>
      </w:rPr>
    </w:lvl>
    <w:lvl w:ilvl="5">
      <w:start w:val="0"/>
      <w:numFmt w:val="bullet"/>
      <w:lvlText w:val="•"/>
      <w:lvlJc w:val="left"/>
      <w:pPr>
        <w:ind w:left="4990" w:hanging="329"/>
      </w:pPr>
      <w:rPr>
        <w:rFonts w:hint="default"/>
      </w:rPr>
    </w:lvl>
    <w:lvl w:ilvl="6">
      <w:start w:val="0"/>
      <w:numFmt w:val="bullet"/>
      <w:lvlText w:val="•"/>
      <w:lvlJc w:val="left"/>
      <w:pPr>
        <w:ind w:left="5840" w:hanging="329"/>
      </w:pPr>
      <w:rPr>
        <w:rFonts w:hint="default"/>
      </w:rPr>
    </w:lvl>
    <w:lvl w:ilvl="7">
      <w:start w:val="0"/>
      <w:numFmt w:val="bullet"/>
      <w:lvlText w:val="•"/>
      <w:lvlJc w:val="left"/>
      <w:pPr>
        <w:ind w:left="6690" w:hanging="329"/>
      </w:pPr>
      <w:rPr>
        <w:rFonts w:hint="default"/>
      </w:rPr>
    </w:lvl>
    <w:lvl w:ilvl="8">
      <w:start w:val="0"/>
      <w:numFmt w:val="bullet"/>
      <w:lvlText w:val="•"/>
      <w:lvlJc w:val="left"/>
      <w:pPr>
        <w:ind w:left="7540" w:hanging="32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
      <w:ind w:left="403"/>
      <w:outlineLvl w:val="1"/>
    </w:pPr>
    <w:rPr>
      <w:rFonts w:ascii="Arial" w:hAnsi="Arial" w:eastAsia="Arial" w:cs="Arial"/>
      <w:b/>
      <w:bCs/>
      <w:sz w:val="20"/>
      <w:szCs w:val="20"/>
    </w:rPr>
  </w:style>
  <w:style w:styleId="ListParagraph" w:type="paragraph">
    <w:name w:val="List Paragraph"/>
    <w:basedOn w:val="Normal"/>
    <w:uiPriority w:val="1"/>
    <w:qFormat/>
    <w:pPr>
      <w:spacing w:before="54"/>
      <w:ind w:left="732" w:hanging="330"/>
    </w:pPr>
    <w:rPr>
      <w:rFonts w:ascii="Arial" w:hAnsi="Arial" w:eastAsia="Arial" w:cs="Arial"/>
    </w:rPr>
  </w:style>
  <w:style w:styleId="TableParagraph" w:type="paragraph">
    <w:name w:val="Table Paragraph"/>
    <w:basedOn w:val="Normal"/>
    <w:uiPriority w:val="1"/>
    <w:qFormat/>
    <w:pPr>
      <w:spacing w:before="108"/>
      <w:ind w:left="327"/>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dc:title>Guide SPT Vs Final signé 09.06.12.pdf</dc:title>
  <dcterms:created xsi:type="dcterms:W3CDTF">2020-02-25T15:22:39Z</dcterms:created>
  <dcterms:modified xsi:type="dcterms:W3CDTF">2020-02-25T15:22:39Z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2017-11-16T00:00:00Z</vt:filetime>
  </property>
  <property fmtid="{D5CDD505-2E9C-101B-9397-08002B2CF9AE}" pid="3" name="Creator">
    <vt:lpwstr>Bullzip PDF Printer (10.8.0.2282)</vt:lpwstr>
  </property>
  <property fmtid="{D5CDD505-2E9C-101B-9397-08002B2CF9AE}" pid="4" name="LastSaved">
    <vt:filetime>2020-02-25T00:00:00Z</vt:filetime>
  </property>
</Properties>
</file>